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44" w:rsidRPr="00CE3822" w:rsidRDefault="00DF6044" w:rsidP="00DF6044">
      <w:pPr>
        <w:jc w:val="right"/>
        <w:rPr>
          <w:rFonts w:asciiTheme="minorHAnsi" w:hAnsiTheme="minorHAnsi"/>
          <w:b/>
          <w:sz w:val="22"/>
        </w:rPr>
      </w:pPr>
    </w:p>
    <w:p w:rsidR="00DF6044" w:rsidRPr="00CE3822" w:rsidRDefault="00DF6044" w:rsidP="00DF6044">
      <w:pPr>
        <w:jc w:val="right"/>
        <w:rPr>
          <w:rFonts w:asciiTheme="minorHAnsi" w:hAnsiTheme="minorHAnsi"/>
          <w:b/>
          <w:sz w:val="22"/>
        </w:rPr>
      </w:pPr>
      <w:r w:rsidRPr="00CE3822">
        <w:rPr>
          <w:rFonts w:asciiTheme="minorHAnsi" w:hAnsiTheme="minorHAnsi"/>
          <w:b/>
          <w:sz w:val="22"/>
        </w:rPr>
        <w:t xml:space="preserve">Załącznik nr 6B do SIWZ </w:t>
      </w:r>
    </w:p>
    <w:p w:rsidR="00437F42" w:rsidRDefault="00437F42" w:rsidP="008E6E02">
      <w:pPr>
        <w:spacing w:line="240" w:lineRule="auto"/>
        <w:jc w:val="center"/>
        <w:rPr>
          <w:rFonts w:asciiTheme="minorHAnsi" w:hAnsiTheme="minorHAnsi" w:cs="Times New Roman"/>
          <w:b/>
          <w:sz w:val="22"/>
        </w:rPr>
      </w:pPr>
      <w:r>
        <w:rPr>
          <w:rFonts w:asciiTheme="minorHAnsi" w:hAnsiTheme="minorHAnsi" w:cs="Times New Roman"/>
          <w:b/>
          <w:sz w:val="22"/>
        </w:rPr>
        <w:t xml:space="preserve">SZCZEGÓŁOWY OPIS PRZEDMIOTU ZAMÓWIENIA </w:t>
      </w:r>
    </w:p>
    <w:p w:rsidR="00437F42" w:rsidRDefault="00437F42" w:rsidP="00437F42">
      <w:pPr>
        <w:spacing w:line="240" w:lineRule="auto"/>
        <w:jc w:val="center"/>
        <w:rPr>
          <w:rFonts w:asciiTheme="minorHAnsi" w:hAnsiTheme="minorHAnsi" w:cs="Times New Roman"/>
          <w:b/>
          <w:sz w:val="22"/>
        </w:rPr>
      </w:pPr>
      <w:r w:rsidRPr="009214CA">
        <w:rPr>
          <w:rFonts w:asciiTheme="minorHAnsi" w:hAnsiTheme="minorHAnsi" w:cs="Times New Roman"/>
          <w:b/>
          <w:sz w:val="22"/>
        </w:rPr>
        <w:t xml:space="preserve">WYPOSAŻENIE SZKOŁY PODSTAWOWEJ </w:t>
      </w:r>
      <w:r w:rsidRPr="00BC4FFF">
        <w:rPr>
          <w:rFonts w:asciiTheme="minorHAnsi" w:hAnsiTheme="minorHAnsi" w:cs="Times New Roman"/>
          <w:b/>
          <w:sz w:val="22"/>
        </w:rPr>
        <w:t>NR 3</w:t>
      </w:r>
      <w:r>
        <w:rPr>
          <w:rFonts w:asciiTheme="minorHAnsi" w:hAnsiTheme="minorHAnsi" w:cs="Times New Roman"/>
          <w:b/>
          <w:sz w:val="22"/>
        </w:rPr>
        <w:t xml:space="preserve"> IM. ROTMISTRZA WITOLDA PILECKIEGO </w:t>
      </w:r>
    </w:p>
    <w:p w:rsidR="00437F42" w:rsidRPr="009214CA" w:rsidRDefault="00437F42" w:rsidP="00437F42">
      <w:pPr>
        <w:spacing w:line="240" w:lineRule="auto"/>
        <w:jc w:val="center"/>
        <w:rPr>
          <w:rFonts w:asciiTheme="minorHAnsi" w:hAnsiTheme="minorHAnsi" w:cs="Times New Roman"/>
          <w:b/>
          <w:sz w:val="22"/>
        </w:rPr>
      </w:pPr>
    </w:p>
    <w:tbl>
      <w:tblPr>
        <w:tblStyle w:val="Tabela-Siatka"/>
        <w:tblW w:w="4829" w:type="pct"/>
        <w:tblLook w:val="04A0" w:firstRow="1" w:lastRow="0" w:firstColumn="1" w:lastColumn="0" w:noHBand="0" w:noVBand="1"/>
      </w:tblPr>
      <w:tblGrid>
        <w:gridCol w:w="547"/>
        <w:gridCol w:w="6099"/>
        <w:gridCol w:w="1543"/>
        <w:gridCol w:w="5954"/>
      </w:tblGrid>
      <w:tr w:rsidR="008477A0" w:rsidRPr="00AA4523" w:rsidTr="008477A0">
        <w:tc>
          <w:tcPr>
            <w:tcW w:w="193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A4523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A4523">
              <w:rPr>
                <w:rFonts w:asciiTheme="minorHAnsi" w:hAnsiTheme="minorHAnsi"/>
                <w:b/>
                <w:sz w:val="22"/>
                <w:szCs w:val="22"/>
              </w:rPr>
              <w:t>Nazwa wyposażenia</w:t>
            </w:r>
          </w:p>
        </w:tc>
        <w:tc>
          <w:tcPr>
            <w:tcW w:w="545" w:type="pct"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A4523">
              <w:rPr>
                <w:rFonts w:asciiTheme="minorHAnsi" w:hAnsiTheme="minorHAnsi"/>
                <w:b/>
                <w:sz w:val="22"/>
                <w:szCs w:val="22"/>
              </w:rPr>
              <w:t>Liczba szt.</w:t>
            </w: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A4523">
              <w:rPr>
                <w:rFonts w:asciiTheme="minorHAnsi" w:hAnsiTheme="minorHAnsi"/>
                <w:b/>
                <w:sz w:val="22"/>
                <w:szCs w:val="22"/>
              </w:rPr>
              <w:t>Opis minimalnych</w:t>
            </w:r>
          </w:p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A4523">
              <w:rPr>
                <w:rFonts w:asciiTheme="minorHAnsi" w:hAnsiTheme="minorHAnsi"/>
                <w:b/>
                <w:sz w:val="22"/>
                <w:szCs w:val="22"/>
              </w:rPr>
              <w:t>parametrów</w:t>
            </w:r>
          </w:p>
        </w:tc>
      </w:tr>
      <w:tr w:rsidR="008477A0" w:rsidRPr="00AA4523" w:rsidTr="008477A0">
        <w:tc>
          <w:tcPr>
            <w:tcW w:w="193" w:type="pct"/>
            <w:vMerge w:val="restar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Komputer przenośny</w:t>
            </w:r>
          </w:p>
          <w:p w:rsidR="008477A0" w:rsidRPr="00AA4523" w:rsidRDefault="008477A0" w:rsidP="003167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" w:type="pct"/>
            <w:vMerge w:val="restart"/>
          </w:tcPr>
          <w:p w:rsidR="008477A0" w:rsidRPr="00AA4523" w:rsidRDefault="008477A0" w:rsidP="00316724">
            <w:pPr>
              <w:ind w:left="-1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0C83">
              <w:rPr>
                <w:rFonts w:asciiTheme="minorHAnsi" w:hAnsiTheme="minorHAnsi"/>
                <w:sz w:val="22"/>
                <w:szCs w:val="22"/>
              </w:rPr>
              <w:t>Producent i model: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Wielkość matrycy 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Calibri"/>
                <w:color w:val="000000"/>
                <w:sz w:val="22"/>
                <w:szCs w:val="22"/>
              </w:rPr>
              <w:t>17,3”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Parametry ekranu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Default="008477A0" w:rsidP="00316724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4523">
              <w:rPr>
                <w:rFonts w:asciiTheme="minorHAnsi" w:hAnsiTheme="minorHAnsi" w:cs="Calibri"/>
                <w:sz w:val="22"/>
                <w:szCs w:val="22"/>
              </w:rPr>
              <w:t xml:space="preserve">Rozdzielczość 1920x1080, </w:t>
            </w:r>
          </w:p>
          <w:p w:rsidR="008477A0" w:rsidRDefault="008477A0" w:rsidP="00316724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4523">
              <w:rPr>
                <w:rFonts w:asciiTheme="minorHAnsi" w:hAnsiTheme="minorHAnsi" w:cs="Calibri"/>
                <w:sz w:val="22"/>
                <w:szCs w:val="22"/>
              </w:rPr>
              <w:t>powierzchnia matowa</w:t>
            </w:r>
          </w:p>
          <w:p w:rsidR="008477A0" w:rsidRPr="00AA4523" w:rsidRDefault="008477A0" w:rsidP="00316724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4523">
              <w:rPr>
                <w:rFonts w:asciiTheme="minorHAnsi" w:hAnsiTheme="minorHAnsi" w:cs="Calibri"/>
                <w:sz w:val="22"/>
                <w:szCs w:val="22"/>
              </w:rPr>
              <w:t>Typ matrycy IPS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Typ zainstalowanego procesora 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4523">
              <w:rPr>
                <w:rFonts w:asciiTheme="minorHAnsi" w:hAnsiTheme="minorHAnsi" w:cs="Calibri"/>
                <w:sz w:val="22"/>
                <w:szCs w:val="22"/>
              </w:rPr>
              <w:t>Procesor osiągający w benchmarku:</w:t>
            </w:r>
          </w:p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Calibri"/>
                <w:sz w:val="22"/>
                <w:szCs w:val="22"/>
              </w:rPr>
              <w:t>http://www.cpubenchmark.net/cpu_list.php minimum 3150 punktów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Ilość zainstalowanych dysków 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4523">
              <w:rPr>
                <w:rFonts w:asciiTheme="minorHAnsi" w:hAnsiTheme="minorHAnsi" w:cs="Calibri"/>
                <w:sz w:val="22"/>
                <w:szCs w:val="22"/>
              </w:rPr>
              <w:t>1 szt.</w:t>
            </w:r>
          </w:p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B53">
              <w:rPr>
                <w:rFonts w:asciiTheme="minorHAnsi" w:hAnsiTheme="minorHAnsi" w:cs="Calibri"/>
                <w:sz w:val="22"/>
                <w:szCs w:val="22"/>
              </w:rPr>
              <w:t>Możliwość montażu dodatkowego dysku M.2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tabs>
                <w:tab w:val="left" w:pos="9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Pojemność zainstalowanego dysku 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Calibri"/>
                <w:sz w:val="22"/>
                <w:szCs w:val="22"/>
              </w:rPr>
              <w:t>1TB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Pojemność zainstalowanej pamięci 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Calibri"/>
                <w:sz w:val="22"/>
                <w:szCs w:val="22"/>
              </w:rPr>
              <w:t>8GB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Możliwość rozszerzenia do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Calibri"/>
                <w:sz w:val="22"/>
                <w:szCs w:val="22"/>
              </w:rPr>
              <w:t>32GB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Rodzaj zainstalowanej pamięci 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Calibri"/>
                <w:sz w:val="22"/>
                <w:szCs w:val="22"/>
              </w:rPr>
              <w:t>DDR4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Typ pamięci 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Calibri"/>
                <w:sz w:val="22"/>
                <w:szCs w:val="22"/>
              </w:rPr>
              <w:t>Non-ECC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Częstotliwość szyny pamięci 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Calibri"/>
                <w:sz w:val="22"/>
                <w:szCs w:val="22"/>
              </w:rPr>
              <w:t>2133 MHz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Ilość wolnych banków pamięci 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Pozostałe porty we/wy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4523">
              <w:rPr>
                <w:rFonts w:asciiTheme="minorHAnsi" w:hAnsiTheme="minorHAnsi" w:cs="Calibri"/>
                <w:sz w:val="22"/>
                <w:szCs w:val="22"/>
              </w:rPr>
              <w:t>USB 3.1 Gen. 1 (USB 3.0) - 2 szt.</w:t>
            </w:r>
          </w:p>
          <w:p w:rsidR="008477A0" w:rsidRPr="00AA4523" w:rsidRDefault="008477A0" w:rsidP="00316724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4523">
              <w:rPr>
                <w:rFonts w:asciiTheme="minorHAnsi" w:hAnsiTheme="minorHAnsi" w:cs="Calibri"/>
                <w:sz w:val="22"/>
                <w:szCs w:val="22"/>
              </w:rPr>
              <w:t>HDMI - 1 szt.</w:t>
            </w:r>
          </w:p>
          <w:p w:rsidR="008477A0" w:rsidRPr="00AA4523" w:rsidRDefault="008477A0" w:rsidP="00316724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4523">
              <w:rPr>
                <w:rFonts w:asciiTheme="minorHAnsi" w:hAnsiTheme="minorHAnsi" w:cs="Calibri"/>
                <w:sz w:val="22"/>
                <w:szCs w:val="22"/>
              </w:rPr>
              <w:t>Czytnik kart pamięci - 1 szt.</w:t>
            </w:r>
          </w:p>
          <w:p w:rsidR="008477A0" w:rsidRPr="00AA4523" w:rsidRDefault="008477A0" w:rsidP="00316724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4523">
              <w:rPr>
                <w:rFonts w:asciiTheme="minorHAnsi" w:hAnsiTheme="minorHAnsi" w:cs="Calibri"/>
                <w:sz w:val="22"/>
                <w:szCs w:val="22"/>
              </w:rPr>
              <w:lastRenderedPageBreak/>
              <w:t>USB 2.0 - 1 szt.</w:t>
            </w:r>
          </w:p>
          <w:p w:rsidR="008477A0" w:rsidRPr="00AA4523" w:rsidRDefault="008477A0" w:rsidP="00316724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4523">
              <w:rPr>
                <w:rFonts w:asciiTheme="minorHAnsi" w:hAnsiTheme="minorHAnsi" w:cs="Calibri"/>
                <w:sz w:val="22"/>
                <w:szCs w:val="22"/>
              </w:rPr>
              <w:t>RJ-45 (LAN) - 1 szt.</w:t>
            </w:r>
          </w:p>
          <w:p w:rsidR="008477A0" w:rsidRPr="00AA4523" w:rsidRDefault="008477A0" w:rsidP="00316724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4523">
              <w:rPr>
                <w:rFonts w:asciiTheme="minorHAnsi" w:hAnsiTheme="minorHAnsi" w:cs="Calibri"/>
                <w:sz w:val="22"/>
                <w:szCs w:val="22"/>
              </w:rPr>
              <w:t>Wyjście słuchawkowe/wejście mikrofonowe - 1 szt.</w:t>
            </w:r>
          </w:p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Calibri"/>
                <w:sz w:val="22"/>
                <w:szCs w:val="22"/>
              </w:rPr>
              <w:t>DC-in (wejście zasilania) - 1 szt.</w:t>
            </w:r>
          </w:p>
        </w:tc>
      </w:tr>
      <w:tr w:rsidR="008477A0" w:rsidRPr="000B5A8E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łączność 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AF2B53">
              <w:rPr>
                <w:rFonts w:asciiTheme="minorHAnsi" w:hAnsiTheme="minorHAnsi" w:cs="Calibri"/>
                <w:sz w:val="22"/>
                <w:szCs w:val="22"/>
                <w:lang w:val="en-US"/>
              </w:rPr>
              <w:t>LAN 10/100 Mbps</w:t>
            </w:r>
          </w:p>
          <w:p w:rsidR="008477A0" w:rsidRPr="00AA4523" w:rsidRDefault="008477A0" w:rsidP="0031672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AA4523">
              <w:rPr>
                <w:rFonts w:asciiTheme="minorHAnsi" w:hAnsiTheme="minorHAnsi" w:cs="Calibri"/>
                <w:sz w:val="22"/>
                <w:szCs w:val="22"/>
                <w:lang w:val="en-US"/>
              </w:rPr>
              <w:t>Wi-Fi 802.11 b/g/n/ac</w:t>
            </w:r>
          </w:p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AA4523">
              <w:rPr>
                <w:rFonts w:asciiTheme="minorHAnsi" w:hAnsiTheme="minorHAnsi" w:cs="Calibri"/>
                <w:sz w:val="22"/>
                <w:szCs w:val="22"/>
                <w:lang w:val="en-US"/>
              </w:rPr>
              <w:t>Moduł</w:t>
            </w:r>
            <w:proofErr w:type="spellEnd"/>
            <w:r w:rsidRPr="00AA4523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Bluetooth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156" w:type="pct"/>
            <w:vAlign w:val="center"/>
          </w:tcPr>
          <w:p w:rsidR="008477A0" w:rsidRPr="00AA4523" w:rsidRDefault="008477A0" w:rsidP="00316724">
            <w:pPr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AA4523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Dźwięk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4523">
              <w:rPr>
                <w:rFonts w:asciiTheme="minorHAnsi" w:hAnsiTheme="minorHAnsi" w:cs="Calibri"/>
                <w:color w:val="000000"/>
                <w:sz w:val="22"/>
                <w:szCs w:val="22"/>
              </w:rPr>
              <w:t>Wbudowane głośniki stereo</w:t>
            </w:r>
          </w:p>
          <w:p w:rsidR="008477A0" w:rsidRPr="00AA4523" w:rsidRDefault="008477A0" w:rsidP="00316724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4523">
              <w:rPr>
                <w:rFonts w:asciiTheme="minorHAnsi" w:hAnsiTheme="minorHAnsi" w:cs="Calibri"/>
                <w:color w:val="000000"/>
                <w:sz w:val="22"/>
                <w:szCs w:val="22"/>
              </w:rPr>
              <w:t>Wbudowany mikrofon</w:t>
            </w:r>
          </w:p>
          <w:p w:rsidR="008477A0" w:rsidRPr="00AA4523" w:rsidRDefault="008477A0" w:rsidP="00316724">
            <w:pPr>
              <w:tabs>
                <w:tab w:val="left" w:pos="76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Calibri"/>
                <w:color w:val="000000"/>
                <w:sz w:val="22"/>
                <w:szCs w:val="22"/>
              </w:rPr>
              <w:t>Zintegrowana karta dźwiękowa zgodna z Intel High Definition Audio</w:t>
            </w:r>
          </w:p>
        </w:tc>
      </w:tr>
      <w:tr w:rsidR="008477A0" w:rsidRPr="000B5A8E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Napędy wbudowane (zainstalowane) 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A4523">
              <w:rPr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  <w:t>DVD±RW Super Multi (+ DVD-RAM) Dual Layer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A4523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Zasilanie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Bateria 3-komorowa, 3500 </w:t>
            </w:r>
            <w:proofErr w:type="spellStart"/>
            <w:r w:rsidRPr="00AA4523">
              <w:rPr>
                <w:rFonts w:asciiTheme="minorHAnsi" w:hAnsiTheme="minorHAnsi" w:cs="Calibri"/>
                <w:color w:val="000000"/>
                <w:sz w:val="22"/>
                <w:szCs w:val="22"/>
              </w:rPr>
              <w:t>mAh</w:t>
            </w:r>
            <w:proofErr w:type="spellEnd"/>
            <w:r w:rsidRPr="00AA4523">
              <w:rPr>
                <w:rFonts w:asciiTheme="minorHAnsi" w:hAnsiTheme="minorHAnsi" w:cs="Calibri"/>
                <w:color w:val="000000"/>
                <w:sz w:val="22"/>
                <w:szCs w:val="22"/>
              </w:rPr>
              <w:t>, Li-</w:t>
            </w:r>
            <w:proofErr w:type="spellStart"/>
            <w:r w:rsidRPr="00AA4523">
              <w:rPr>
                <w:rFonts w:asciiTheme="minorHAnsi" w:hAnsiTheme="minorHAnsi" w:cs="Calibri"/>
                <w:color w:val="000000"/>
                <w:sz w:val="22"/>
                <w:szCs w:val="22"/>
              </w:rPr>
              <w:t>Ion</w:t>
            </w:r>
            <w:proofErr w:type="spellEnd"/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System operacyjny 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Najnowszy system komputerowy  kompatybilny z </w:t>
            </w:r>
            <w:proofErr w:type="spellStart"/>
            <w:r w:rsidRPr="00AA4523">
              <w:rPr>
                <w:rFonts w:asciiTheme="minorHAnsi" w:hAnsiTheme="minorHAnsi" w:cs="Calibri"/>
                <w:color w:val="000000"/>
                <w:sz w:val="22"/>
                <w:szCs w:val="22"/>
              </w:rPr>
              <w:t>MsOffice</w:t>
            </w:r>
            <w:proofErr w:type="spellEnd"/>
            <w:r w:rsidRPr="00AA4523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"/>
                <w:sz w:val="22"/>
                <w:szCs w:val="22"/>
              </w:rPr>
              <w:t>Warunki gwarancji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"/>
                <w:bCs/>
                <w:sz w:val="22"/>
                <w:szCs w:val="22"/>
              </w:rPr>
              <w:t>24 miesiące</w:t>
            </w:r>
          </w:p>
        </w:tc>
      </w:tr>
      <w:tr w:rsidR="008477A0" w:rsidRPr="00AA4523" w:rsidTr="008477A0">
        <w:tc>
          <w:tcPr>
            <w:tcW w:w="193" w:type="pct"/>
            <w:vMerge w:val="restar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A4523">
              <w:rPr>
                <w:rFonts w:asciiTheme="minorHAnsi" w:hAnsiTheme="minorHAnsi"/>
                <w:b/>
                <w:sz w:val="22"/>
                <w:szCs w:val="22"/>
              </w:rPr>
              <w:t>Mysz komputerowa</w:t>
            </w:r>
          </w:p>
        </w:tc>
        <w:tc>
          <w:tcPr>
            <w:tcW w:w="545" w:type="pct"/>
            <w:vMerge w:val="restart"/>
          </w:tcPr>
          <w:p w:rsidR="008477A0" w:rsidRPr="00AA4523" w:rsidRDefault="008477A0" w:rsidP="00316724">
            <w:pPr>
              <w:ind w:left="-1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105" w:type="pct"/>
          </w:tcPr>
          <w:p w:rsidR="008477A0" w:rsidRPr="00AA4523" w:rsidRDefault="008477A0" w:rsidP="00BA5A47">
            <w:pPr>
              <w:ind w:left="-13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0C83">
              <w:rPr>
                <w:rFonts w:asciiTheme="minorHAnsi" w:hAnsiTheme="minorHAnsi"/>
                <w:sz w:val="22"/>
                <w:szCs w:val="22"/>
              </w:rPr>
              <w:t>Producent i model: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Typ myszy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BA5A47">
            <w:pPr>
              <w:ind w:left="-13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Optyczna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tabs>
                <w:tab w:val="left" w:pos="12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Interfejs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BA5A47" w:rsidRDefault="008477A0" w:rsidP="00BA5A47">
            <w:pPr>
              <w:ind w:left="-133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AA4523">
              <w:rPr>
                <w:rFonts w:asciiTheme="minorHAnsi" w:eastAsia="Times New Roman" w:hAnsiTheme="minorHAnsi"/>
                <w:sz w:val="22"/>
                <w:szCs w:val="22"/>
              </w:rPr>
              <w:t>USB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tabs>
                <w:tab w:val="left" w:pos="12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Komunikacja z komputerem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BA5A47">
            <w:pPr>
              <w:ind w:left="-133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Przewodowa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tabs>
                <w:tab w:val="left" w:pos="12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Długość przewodu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BA5A47">
            <w:pPr>
              <w:ind w:left="-13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1,8 m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eastAsia="Times New Roman" w:hAnsiTheme="minorHAnsi"/>
                <w:sz w:val="22"/>
                <w:szCs w:val="22"/>
              </w:rPr>
              <w:t xml:space="preserve">Liczba przycisków 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BA5A47">
            <w:pPr>
              <w:ind w:left="-13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AA4523">
              <w:rPr>
                <w:rFonts w:asciiTheme="minorHAnsi" w:eastAsia="Times New Roman" w:hAnsiTheme="minorHAnsi"/>
                <w:sz w:val="22"/>
                <w:szCs w:val="22"/>
              </w:rPr>
              <w:t xml:space="preserve">Liczba rolek 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BA5A47">
            <w:pPr>
              <w:ind w:left="-13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AA4523">
              <w:rPr>
                <w:rFonts w:asciiTheme="minorHAnsi" w:eastAsia="Times New Roman" w:hAnsiTheme="minorHAnsi"/>
                <w:sz w:val="22"/>
                <w:szCs w:val="22"/>
              </w:rPr>
              <w:t xml:space="preserve">Rozdzielczość 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BA5A47">
            <w:pPr>
              <w:ind w:left="-133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AA4523">
              <w:rPr>
                <w:rFonts w:asciiTheme="minorHAnsi" w:eastAsia="Times New Roman" w:hAnsiTheme="minorHAnsi"/>
                <w:sz w:val="22"/>
                <w:szCs w:val="22"/>
              </w:rPr>
              <w:t xml:space="preserve">1000 </w:t>
            </w:r>
            <w:proofErr w:type="spellStart"/>
            <w:r w:rsidRPr="00AA4523">
              <w:rPr>
                <w:rFonts w:asciiTheme="minorHAnsi" w:eastAsia="Times New Roman" w:hAnsiTheme="minorHAnsi"/>
                <w:sz w:val="22"/>
                <w:szCs w:val="22"/>
              </w:rPr>
              <w:t>dpi</w:t>
            </w:r>
            <w:proofErr w:type="spellEnd"/>
          </w:p>
        </w:tc>
      </w:tr>
      <w:tr w:rsidR="008477A0" w:rsidRPr="00AA4523" w:rsidTr="008477A0">
        <w:tc>
          <w:tcPr>
            <w:tcW w:w="193" w:type="pct"/>
            <w:vMerge w:val="restar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156" w:type="pct"/>
          </w:tcPr>
          <w:p w:rsidR="008477A0" w:rsidRPr="00BA5A47" w:rsidRDefault="008477A0" w:rsidP="0031672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A5A47">
              <w:rPr>
                <w:rFonts w:asciiTheme="minorHAnsi" w:hAnsiTheme="minorHAnsi"/>
                <w:b/>
                <w:sz w:val="22"/>
                <w:szCs w:val="22"/>
              </w:rPr>
              <w:t>Mysz komputerowa</w:t>
            </w:r>
          </w:p>
        </w:tc>
        <w:tc>
          <w:tcPr>
            <w:tcW w:w="545" w:type="pct"/>
            <w:vMerge w:val="restart"/>
          </w:tcPr>
          <w:p w:rsidR="008477A0" w:rsidRPr="00AA4523" w:rsidRDefault="008477A0" w:rsidP="00316724">
            <w:pPr>
              <w:ind w:left="-1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Typ myszy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Optyczna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tabs>
                <w:tab w:val="left" w:pos="12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Interfejs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063AE2">
            <w:pPr>
              <w:ind w:left="9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AA4523">
              <w:rPr>
                <w:rFonts w:asciiTheme="minorHAnsi" w:eastAsia="Times New Roman" w:hAnsiTheme="minorHAnsi"/>
                <w:sz w:val="22"/>
                <w:szCs w:val="22"/>
              </w:rPr>
              <w:t>USB</w:t>
            </w:r>
          </w:p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tabs>
                <w:tab w:val="left" w:pos="12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Komunikacja z komputerem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ind w:left="72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Bezprzewodowa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tabs>
                <w:tab w:val="left" w:pos="12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Zasięg [m]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ind w:left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eastAsia="Times New Roman" w:hAnsiTheme="minorHAnsi"/>
                <w:sz w:val="22"/>
                <w:szCs w:val="22"/>
              </w:rPr>
              <w:t xml:space="preserve">Liczba przycisków 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ind w:left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AA4523">
              <w:rPr>
                <w:rFonts w:asciiTheme="minorHAnsi" w:eastAsia="Times New Roman" w:hAnsiTheme="minorHAnsi"/>
                <w:sz w:val="22"/>
                <w:szCs w:val="22"/>
              </w:rPr>
              <w:t xml:space="preserve">Liczba rolek 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ind w:left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AA4523">
              <w:rPr>
                <w:rFonts w:asciiTheme="minorHAnsi" w:eastAsia="Times New Roman" w:hAnsiTheme="minorHAnsi"/>
                <w:sz w:val="22"/>
                <w:szCs w:val="22"/>
              </w:rPr>
              <w:t xml:space="preserve">Rozdzielczość 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ind w:left="72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AA4523">
              <w:rPr>
                <w:rFonts w:asciiTheme="minorHAnsi" w:eastAsia="Times New Roman" w:hAnsiTheme="minorHAnsi"/>
                <w:sz w:val="22"/>
                <w:szCs w:val="22"/>
              </w:rPr>
              <w:t xml:space="preserve">1000 </w:t>
            </w:r>
            <w:proofErr w:type="spellStart"/>
            <w:r w:rsidRPr="00AA4523">
              <w:rPr>
                <w:rFonts w:asciiTheme="minorHAnsi" w:eastAsia="Times New Roman" w:hAnsiTheme="minorHAnsi"/>
                <w:sz w:val="22"/>
                <w:szCs w:val="22"/>
              </w:rPr>
              <w:t>dpi</w:t>
            </w:r>
            <w:proofErr w:type="spellEnd"/>
          </w:p>
        </w:tc>
      </w:tr>
      <w:tr w:rsidR="008477A0" w:rsidRPr="00AA4523" w:rsidTr="008477A0">
        <w:tc>
          <w:tcPr>
            <w:tcW w:w="193" w:type="pct"/>
            <w:vMerge w:val="restar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156" w:type="pct"/>
          </w:tcPr>
          <w:p w:rsidR="008477A0" w:rsidRPr="00BA5A47" w:rsidRDefault="008477A0" w:rsidP="0031672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A5A47">
              <w:rPr>
                <w:rFonts w:asciiTheme="minorHAnsi" w:hAnsiTheme="minorHAnsi"/>
                <w:b/>
                <w:sz w:val="22"/>
                <w:szCs w:val="22"/>
              </w:rPr>
              <w:t xml:space="preserve">Projektor multimedialny </w:t>
            </w:r>
          </w:p>
        </w:tc>
        <w:tc>
          <w:tcPr>
            <w:tcW w:w="545" w:type="pct"/>
            <w:vMerge w:val="restart"/>
          </w:tcPr>
          <w:p w:rsidR="008477A0" w:rsidRPr="00AA4523" w:rsidRDefault="008477A0" w:rsidP="00316724">
            <w:pPr>
              <w:ind w:left="-1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0C83">
              <w:rPr>
                <w:rFonts w:asciiTheme="minorHAnsi" w:hAnsiTheme="minorHAnsi"/>
                <w:sz w:val="22"/>
                <w:szCs w:val="22"/>
              </w:rPr>
              <w:t>Producent i model: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Rozdzielczość rzeczywista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1280 x 800 (WXGA) pikseli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Rzeczywisty współczynnik proporcji obrazu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16:10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Ogniskowa obiektywu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21,8-25,6 mm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Przesłona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2,46-2,66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Zoom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Optyczny (manualny)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Współczynnik powiększenia (optyczny)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tabs>
                <w:tab w:val="left" w:pos="67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1,2 : 1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Moc lampy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203 Wat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Żywotność lampy (tryb normalny)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4500 godz.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Żywotność lampy (tryb cichy)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6000 godz.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Jasność (tryb normalny)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3300 ANSI lumen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Kontrast (tryb normalny)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15000:1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 xml:space="preserve">Wielkość obrazu 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30-300 cali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Złącza (wejścia)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MT"/>
                <w:sz w:val="22"/>
                <w:szCs w:val="22"/>
                <w:lang w:val="en-US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  <w:lang w:val="en-US"/>
              </w:rPr>
              <w:t>• 2 x D-sub 15-pin</w:t>
            </w:r>
          </w:p>
          <w:p w:rsidR="008477A0" w:rsidRPr="00AA4523" w:rsidRDefault="008477A0" w:rsidP="0031672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MT"/>
                <w:sz w:val="22"/>
                <w:szCs w:val="22"/>
                <w:lang w:val="en-US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  <w:lang w:val="en-US"/>
              </w:rPr>
              <w:t>• 2 x HDMI</w:t>
            </w:r>
          </w:p>
          <w:p w:rsidR="008477A0" w:rsidRPr="00AA4523" w:rsidRDefault="008477A0" w:rsidP="0031672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• 1 x RCA Video</w:t>
            </w:r>
          </w:p>
          <w:p w:rsidR="008477A0" w:rsidRPr="00AA4523" w:rsidRDefault="008477A0" w:rsidP="0031672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• 1 x wejście S-Video</w:t>
            </w:r>
          </w:p>
          <w:p w:rsidR="008477A0" w:rsidRPr="00AA4523" w:rsidRDefault="008477A0" w:rsidP="0031672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• 1 x Audio 3.5mm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Złącza (wyjścia)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MT"/>
                <w:sz w:val="22"/>
                <w:szCs w:val="22"/>
                <w:lang w:val="en-US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  <w:lang w:val="en-US"/>
              </w:rPr>
              <w:t>• 1 x D-sub 15-pin</w:t>
            </w:r>
          </w:p>
          <w:p w:rsidR="008477A0" w:rsidRPr="00AA4523" w:rsidRDefault="008477A0" w:rsidP="0031672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MT"/>
                <w:sz w:val="22"/>
                <w:szCs w:val="22"/>
                <w:lang w:val="en-US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  <w:lang w:val="en-US"/>
              </w:rPr>
              <w:t>• 1 x Audio 3.5mm</w:t>
            </w:r>
          </w:p>
          <w:p w:rsidR="008477A0" w:rsidRPr="00AA4523" w:rsidRDefault="008477A0" w:rsidP="0031672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• 1 x mini-USB</w:t>
            </w:r>
          </w:p>
          <w:p w:rsidR="008477A0" w:rsidRPr="00AA4523" w:rsidRDefault="008477A0" w:rsidP="0031672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• 1 x RS-232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 xml:space="preserve">Poziom hałasu (tryb normalny) 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 xml:space="preserve">32 </w:t>
            </w:r>
            <w:proofErr w:type="spellStart"/>
            <w:r w:rsidRPr="00AA4523">
              <w:rPr>
                <w:rFonts w:asciiTheme="minorHAnsi" w:hAnsiTheme="minorHAnsi" w:cs="ArialMT"/>
                <w:sz w:val="22"/>
                <w:szCs w:val="22"/>
              </w:rPr>
              <w:t>dB</w:t>
            </w:r>
            <w:proofErr w:type="spellEnd"/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Poziom hałasu (tryb cichy)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 xml:space="preserve">29 </w:t>
            </w:r>
            <w:proofErr w:type="spellStart"/>
            <w:r w:rsidRPr="00AA4523">
              <w:rPr>
                <w:rFonts w:asciiTheme="minorHAnsi" w:hAnsiTheme="minorHAnsi" w:cs="ArialMT"/>
                <w:sz w:val="22"/>
                <w:szCs w:val="22"/>
              </w:rPr>
              <w:t>dB</w:t>
            </w:r>
            <w:proofErr w:type="spellEnd"/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 xml:space="preserve">Ilość wbudowanych głośników 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1 szt.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 xml:space="preserve">Moc głośnika 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2 Wat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 xml:space="preserve">Pobór mocy (praca/spoczynek) 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260/0,5 Wat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 xml:space="preserve">Pilot w zestawie 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Tak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Cechy dodatkowe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 xml:space="preserve">• </w:t>
            </w:r>
            <w:proofErr w:type="spellStart"/>
            <w:r w:rsidRPr="00AA4523">
              <w:rPr>
                <w:rFonts w:asciiTheme="minorHAnsi" w:hAnsiTheme="minorHAnsi" w:cs="ArialMT"/>
                <w:sz w:val="22"/>
                <w:szCs w:val="22"/>
              </w:rPr>
              <w:t>Kensington</w:t>
            </w:r>
            <w:proofErr w:type="spellEnd"/>
            <w:r w:rsidRPr="00AA4523">
              <w:rPr>
                <w:rFonts w:asciiTheme="minorHAnsi" w:hAnsiTheme="minorHAnsi" w:cs="ArialMT"/>
                <w:sz w:val="22"/>
                <w:szCs w:val="22"/>
              </w:rPr>
              <w:t xml:space="preserve"> slot</w:t>
            </w:r>
          </w:p>
        </w:tc>
      </w:tr>
      <w:tr w:rsidR="008477A0" w:rsidRPr="00AA4523" w:rsidTr="008477A0">
        <w:tc>
          <w:tcPr>
            <w:tcW w:w="193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156" w:type="pct"/>
          </w:tcPr>
          <w:p w:rsidR="008477A0" w:rsidRPr="00BA5A47" w:rsidRDefault="008477A0" w:rsidP="0031672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A5A47">
              <w:rPr>
                <w:rFonts w:asciiTheme="minorHAnsi" w:hAnsiTheme="minorHAnsi"/>
                <w:b/>
                <w:sz w:val="22"/>
                <w:szCs w:val="22"/>
              </w:rPr>
              <w:t xml:space="preserve">Ekran projekcyjny na statywie </w:t>
            </w:r>
          </w:p>
        </w:tc>
        <w:tc>
          <w:tcPr>
            <w:tcW w:w="545" w:type="pct"/>
            <w:vMerge w:val="restart"/>
          </w:tcPr>
          <w:p w:rsidR="008477A0" w:rsidRPr="00AA4523" w:rsidRDefault="008477A0" w:rsidP="00316724">
            <w:pPr>
              <w:ind w:left="-1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0C83">
              <w:rPr>
                <w:rFonts w:asciiTheme="minorHAnsi" w:hAnsiTheme="minorHAnsi"/>
                <w:sz w:val="22"/>
                <w:szCs w:val="22"/>
              </w:rPr>
              <w:t>Producent i model:</w:t>
            </w:r>
          </w:p>
        </w:tc>
      </w:tr>
      <w:tr w:rsidR="008477A0" w:rsidRPr="00AA4523" w:rsidTr="008477A0">
        <w:tc>
          <w:tcPr>
            <w:tcW w:w="193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Wymiary ekranu: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180 x 180 cm,</w:t>
            </w:r>
          </w:p>
        </w:tc>
      </w:tr>
      <w:tr w:rsidR="008477A0" w:rsidRPr="00AA4523" w:rsidTr="008477A0">
        <w:tc>
          <w:tcPr>
            <w:tcW w:w="193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Wymiary powierzchni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175 x 175 cm</w:t>
            </w:r>
          </w:p>
        </w:tc>
      </w:tr>
      <w:tr w:rsidR="008477A0" w:rsidRPr="00AA4523" w:rsidTr="008477A0">
        <w:tc>
          <w:tcPr>
            <w:tcW w:w="193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 xml:space="preserve">Format 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1:1, 4:3, 16:9, 16:10 (regulacja ręczna)</w:t>
            </w:r>
          </w:p>
        </w:tc>
      </w:tr>
      <w:tr w:rsidR="008477A0" w:rsidRPr="00AA4523" w:rsidTr="008477A0">
        <w:tc>
          <w:tcPr>
            <w:tcW w:w="193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Dodatkowe informacje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uchwyt do przenoszenia i regulowania wysokości, Obramowanie w kolorze czarnym dla zwiększenia</w:t>
            </w:r>
          </w:p>
          <w:p w:rsidR="008477A0" w:rsidRPr="00AA4523" w:rsidRDefault="008477A0" w:rsidP="0031672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kontrastu oglądanego obrazu, Ramię do wyeliminowania efektu trapezu, Metalowa obudowa ekranu, Możliwość stosowania przy silnym oświetleniu</w:t>
            </w:r>
          </w:p>
          <w:p w:rsidR="008477A0" w:rsidRPr="00AA4523" w:rsidRDefault="008477A0" w:rsidP="0031672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znajdującym się za ekranem</w:t>
            </w:r>
          </w:p>
        </w:tc>
      </w:tr>
      <w:tr w:rsidR="008477A0" w:rsidRPr="00AA4523" w:rsidTr="008477A0">
        <w:tc>
          <w:tcPr>
            <w:tcW w:w="193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156" w:type="pct"/>
          </w:tcPr>
          <w:p w:rsidR="008477A0" w:rsidRPr="00BA5A47" w:rsidRDefault="008477A0" w:rsidP="0031672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A5A47">
              <w:rPr>
                <w:rFonts w:asciiTheme="minorHAnsi" w:hAnsiTheme="minorHAnsi"/>
                <w:b/>
                <w:sz w:val="22"/>
                <w:szCs w:val="22"/>
              </w:rPr>
              <w:t xml:space="preserve">Ekran do zawieszenia </w:t>
            </w:r>
          </w:p>
        </w:tc>
        <w:tc>
          <w:tcPr>
            <w:tcW w:w="545" w:type="pct"/>
            <w:vMerge w:val="restart"/>
          </w:tcPr>
          <w:p w:rsidR="008477A0" w:rsidRPr="00AA4523" w:rsidRDefault="008477A0" w:rsidP="00316724">
            <w:pPr>
              <w:ind w:left="-1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0C83">
              <w:rPr>
                <w:rFonts w:asciiTheme="minorHAnsi" w:hAnsiTheme="minorHAnsi"/>
                <w:sz w:val="22"/>
                <w:szCs w:val="22"/>
              </w:rPr>
              <w:t>Producent i model:</w:t>
            </w:r>
          </w:p>
        </w:tc>
      </w:tr>
      <w:tr w:rsidR="008477A0" w:rsidRPr="00AA4523" w:rsidTr="008477A0">
        <w:tc>
          <w:tcPr>
            <w:tcW w:w="193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Wymiary ekranu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200 x 200cm</w:t>
            </w:r>
          </w:p>
        </w:tc>
      </w:tr>
      <w:tr w:rsidR="008477A0" w:rsidRPr="00AA4523" w:rsidTr="008477A0">
        <w:tc>
          <w:tcPr>
            <w:tcW w:w="193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rPr>
                <w:rFonts w:asciiTheme="minorHAnsi" w:hAnsiTheme="minorHAnsi" w:cs="ArialMT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Wymiary powierzchni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195 x 146,5cm</w:t>
            </w:r>
          </w:p>
        </w:tc>
      </w:tr>
      <w:tr w:rsidR="008477A0" w:rsidRPr="00AA4523" w:rsidTr="008477A0">
        <w:tc>
          <w:tcPr>
            <w:tcW w:w="193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 xml:space="preserve">Format obrazu 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A4523">
              <w:rPr>
                <w:rFonts w:asciiTheme="minorHAnsi" w:hAnsiTheme="minorHAnsi" w:cs="ArialMT"/>
                <w:szCs w:val="22"/>
              </w:rPr>
              <w:t>4:3</w:t>
            </w:r>
          </w:p>
        </w:tc>
      </w:tr>
      <w:tr w:rsidR="008477A0" w:rsidRPr="00AA4523" w:rsidTr="008477A0">
        <w:tc>
          <w:tcPr>
            <w:tcW w:w="193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 xml:space="preserve">Współczynnik odbicia światła 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A4523">
              <w:rPr>
                <w:rFonts w:asciiTheme="minorHAnsi" w:hAnsiTheme="minorHAnsi" w:cs="ArialMT"/>
                <w:szCs w:val="22"/>
              </w:rPr>
              <w:t>1.0</w:t>
            </w:r>
          </w:p>
        </w:tc>
      </w:tr>
      <w:tr w:rsidR="008477A0" w:rsidRPr="00AA4523" w:rsidTr="008477A0">
        <w:tc>
          <w:tcPr>
            <w:tcW w:w="193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Cechy dodatkowe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• Obramowanie w kolorze czarnym dla zwiększenia</w:t>
            </w:r>
          </w:p>
          <w:p w:rsidR="008477A0" w:rsidRPr="00AA4523" w:rsidRDefault="008477A0" w:rsidP="0031672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kontrastu oglądanego obrazu</w:t>
            </w:r>
          </w:p>
          <w:p w:rsidR="008477A0" w:rsidRPr="00AA4523" w:rsidRDefault="008477A0" w:rsidP="0031672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• Czarny TOP pozwalający dopasować wysokość</w:t>
            </w:r>
          </w:p>
          <w:p w:rsidR="008477A0" w:rsidRPr="00AA4523" w:rsidRDefault="008477A0" w:rsidP="0031672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ekranu do poziomu oczu widzów</w:t>
            </w:r>
          </w:p>
          <w:p w:rsidR="008477A0" w:rsidRPr="00AA4523" w:rsidRDefault="008477A0" w:rsidP="0031672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• Dolna belka z tworzywa dzięki któremu</w:t>
            </w:r>
          </w:p>
          <w:p w:rsidR="008477A0" w:rsidRPr="00AA4523" w:rsidRDefault="008477A0" w:rsidP="0031672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powierzchnia ekranu nie ulega pofałdowaniu</w:t>
            </w:r>
          </w:p>
          <w:p w:rsidR="008477A0" w:rsidRPr="00AA4523" w:rsidRDefault="008477A0" w:rsidP="0031672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• Blokada zabezpieczająca przed przypadkowym</w:t>
            </w:r>
          </w:p>
          <w:p w:rsidR="008477A0" w:rsidRPr="00AA4523" w:rsidRDefault="008477A0" w:rsidP="0031672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zwijaniem</w:t>
            </w:r>
          </w:p>
          <w:p w:rsidR="008477A0" w:rsidRPr="00AA4523" w:rsidRDefault="008477A0" w:rsidP="0031672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• Regulacja wysokości dolnej krawędzi</w:t>
            </w:r>
          </w:p>
          <w:p w:rsidR="008477A0" w:rsidRPr="00AA4523" w:rsidRDefault="008477A0" w:rsidP="0031672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• Uchwyt do opuszczania ekranu i regulacji wysokości</w:t>
            </w:r>
          </w:p>
          <w:p w:rsidR="008477A0" w:rsidRPr="00AA4523" w:rsidRDefault="008477A0" w:rsidP="0031672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• Uchwyty przeznaczone do montażu ściennego i</w:t>
            </w:r>
          </w:p>
          <w:p w:rsidR="008477A0" w:rsidRPr="00AA4523" w:rsidRDefault="008477A0" w:rsidP="0031672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sufitowego</w:t>
            </w:r>
          </w:p>
        </w:tc>
      </w:tr>
      <w:tr w:rsidR="008477A0" w:rsidRPr="00AA4523" w:rsidTr="008477A0">
        <w:tc>
          <w:tcPr>
            <w:tcW w:w="193" w:type="pct"/>
            <w:vMerge w:val="restar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156" w:type="pct"/>
          </w:tcPr>
          <w:p w:rsidR="008477A0" w:rsidRPr="00BA5A47" w:rsidRDefault="008477A0" w:rsidP="0031672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A5A47">
              <w:rPr>
                <w:rFonts w:asciiTheme="minorHAnsi" w:hAnsiTheme="minorHAnsi"/>
                <w:b/>
                <w:sz w:val="22"/>
                <w:szCs w:val="22"/>
              </w:rPr>
              <w:t>Urządzenie wielofunkcyjne</w:t>
            </w:r>
          </w:p>
        </w:tc>
        <w:tc>
          <w:tcPr>
            <w:tcW w:w="545" w:type="pct"/>
            <w:vMerge w:val="restart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-125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A4523">
              <w:rPr>
                <w:rFonts w:asciiTheme="minorHAnsi" w:hAnsiTheme="minorHAnsi" w:cs="Times New Roman"/>
                <w:color w:val="auto"/>
                <w:szCs w:val="22"/>
              </w:rPr>
              <w:t>1</w:t>
            </w:r>
          </w:p>
        </w:tc>
        <w:tc>
          <w:tcPr>
            <w:tcW w:w="2105" w:type="pct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060C83">
              <w:rPr>
                <w:rFonts w:asciiTheme="minorHAnsi" w:hAnsiTheme="minorHAnsi"/>
                <w:szCs w:val="22"/>
              </w:rPr>
              <w:t>Producent i model: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Technologia druku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A4523">
              <w:rPr>
                <w:rFonts w:asciiTheme="minorHAnsi" w:hAnsiTheme="minorHAnsi" w:cs="ArialMT"/>
                <w:szCs w:val="22"/>
              </w:rPr>
              <w:t>atramentowa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Podstawowe funkcje urządzenia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105" w:type="pct"/>
          </w:tcPr>
          <w:p w:rsidR="008477A0" w:rsidRPr="00A73418" w:rsidRDefault="008477A0" w:rsidP="0031672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A73418">
              <w:rPr>
                <w:rFonts w:asciiTheme="minorHAnsi" w:hAnsiTheme="minorHAnsi" w:cs="ArialMT"/>
                <w:sz w:val="22"/>
                <w:szCs w:val="22"/>
              </w:rPr>
              <w:t>• Skaner • Kopiarka • drukarka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szybkość druku (mono)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A4523">
              <w:rPr>
                <w:rFonts w:asciiTheme="minorHAnsi" w:hAnsiTheme="minorHAnsi" w:cs="ArialMT"/>
                <w:szCs w:val="22"/>
              </w:rPr>
              <w:t>27 str./min.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 xml:space="preserve">szybkość druku (kolor) 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A4523">
              <w:rPr>
                <w:rFonts w:asciiTheme="minorHAnsi" w:hAnsiTheme="minorHAnsi" w:cs="ArialMT"/>
                <w:szCs w:val="22"/>
              </w:rPr>
              <w:t>10 str./min.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 xml:space="preserve">Wyświetlacz LCD 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A4523">
              <w:rPr>
                <w:rFonts w:asciiTheme="minorHAnsi" w:hAnsiTheme="minorHAnsi" w:cs="ArialMT"/>
                <w:szCs w:val="22"/>
              </w:rPr>
              <w:t>Tak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Typ wyświetlacza LCD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F2B53">
              <w:rPr>
                <w:rFonts w:asciiTheme="minorHAnsi" w:hAnsiTheme="minorHAnsi" w:cs="ArialMT"/>
                <w:szCs w:val="22"/>
              </w:rPr>
              <w:t>DOT (1-liniowy)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Złącze zewnętrzne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A4523">
              <w:rPr>
                <w:rFonts w:asciiTheme="minorHAnsi" w:hAnsiTheme="minorHAnsi" w:cs="ArialMT"/>
                <w:szCs w:val="22"/>
              </w:rPr>
              <w:t>USB 2.0 Hi-</w:t>
            </w:r>
            <w:proofErr w:type="spellStart"/>
            <w:r w:rsidRPr="00AA4523">
              <w:rPr>
                <w:rFonts w:asciiTheme="minorHAnsi" w:hAnsiTheme="minorHAnsi" w:cs="ArialMT"/>
                <w:szCs w:val="22"/>
              </w:rPr>
              <w:t>Speed</w:t>
            </w:r>
            <w:proofErr w:type="spellEnd"/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tabs>
                <w:tab w:val="left" w:pos="115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Bezprzewodowa karta sieciowa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A4523">
              <w:rPr>
                <w:rFonts w:asciiTheme="minorHAnsi" w:hAnsiTheme="minorHAnsi" w:cs="ArialMT"/>
                <w:szCs w:val="22"/>
              </w:rPr>
              <w:t>Tak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tabs>
                <w:tab w:val="left" w:pos="1155"/>
              </w:tabs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rozmiar papieru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A4523">
              <w:rPr>
                <w:rFonts w:asciiTheme="minorHAnsi" w:hAnsiTheme="minorHAnsi" w:cs="ArialMT"/>
                <w:szCs w:val="22"/>
              </w:rPr>
              <w:t>A4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tabs>
                <w:tab w:val="left" w:pos="1155"/>
              </w:tabs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Obsługiwane rozmiary papieru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• papier A4</w:t>
            </w:r>
          </w:p>
          <w:p w:rsidR="008477A0" w:rsidRPr="00AA4523" w:rsidRDefault="008477A0" w:rsidP="0031672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• papier A5</w:t>
            </w:r>
          </w:p>
          <w:p w:rsidR="008477A0" w:rsidRPr="00AA4523" w:rsidRDefault="008477A0" w:rsidP="0031672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• Karta indeksowa</w:t>
            </w:r>
          </w:p>
          <w:p w:rsidR="008477A0" w:rsidRPr="00AA4523" w:rsidRDefault="008477A0" w:rsidP="0031672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• papier C5</w:t>
            </w:r>
          </w:p>
          <w:p w:rsidR="008477A0" w:rsidRPr="00AA4523" w:rsidRDefault="008477A0" w:rsidP="0031672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• koperty</w:t>
            </w:r>
          </w:p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tabs>
                <w:tab w:val="left" w:pos="1305"/>
              </w:tabs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A4523">
              <w:rPr>
                <w:rFonts w:asciiTheme="minorHAnsi" w:hAnsiTheme="minorHAnsi" w:cs="ArialMT"/>
                <w:szCs w:val="22"/>
              </w:rPr>
              <w:t>• DL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tabs>
                <w:tab w:val="left" w:pos="1155"/>
              </w:tabs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pojemność podajników papieru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A4523">
              <w:rPr>
                <w:rFonts w:asciiTheme="minorHAnsi" w:hAnsiTheme="minorHAnsi" w:cs="ArialMT"/>
                <w:szCs w:val="22"/>
              </w:rPr>
              <w:t>100 szt.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tabs>
                <w:tab w:val="left" w:pos="1155"/>
              </w:tabs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Pojemność tacy odbiorczej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ArialMT"/>
                <w:szCs w:val="22"/>
              </w:rPr>
            </w:pPr>
            <w:r w:rsidRPr="00AA4523">
              <w:rPr>
                <w:rFonts w:asciiTheme="minorHAnsi" w:hAnsiTheme="minorHAnsi" w:cs="ArialMT"/>
                <w:szCs w:val="22"/>
              </w:rPr>
              <w:t>50 szt.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tabs>
                <w:tab w:val="left" w:pos="1155"/>
              </w:tabs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Zainstalowana pamięć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ArialMT"/>
                <w:szCs w:val="22"/>
              </w:rPr>
            </w:pPr>
            <w:r w:rsidRPr="00AA4523">
              <w:rPr>
                <w:rFonts w:asciiTheme="minorHAnsi" w:hAnsiTheme="minorHAnsi" w:cs="ArialMT"/>
                <w:szCs w:val="22"/>
              </w:rPr>
              <w:t>64 MB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tabs>
                <w:tab w:val="left" w:pos="1155"/>
              </w:tabs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 xml:space="preserve">Druk - Rozdzielczość w poziomie (mono) 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ArialMT"/>
                <w:szCs w:val="22"/>
              </w:rPr>
            </w:pPr>
            <w:r w:rsidRPr="00AA4523">
              <w:rPr>
                <w:rFonts w:asciiTheme="minorHAnsi" w:hAnsiTheme="minorHAnsi" w:cs="ArialMT"/>
                <w:szCs w:val="22"/>
              </w:rPr>
              <w:t xml:space="preserve">1200 </w:t>
            </w:r>
            <w:proofErr w:type="spellStart"/>
            <w:r w:rsidRPr="00AA4523">
              <w:rPr>
                <w:rFonts w:asciiTheme="minorHAnsi" w:hAnsiTheme="minorHAnsi" w:cs="ArialMT"/>
                <w:szCs w:val="22"/>
              </w:rPr>
              <w:t>dpi</w:t>
            </w:r>
            <w:proofErr w:type="spellEnd"/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tabs>
                <w:tab w:val="left" w:pos="1155"/>
              </w:tabs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 xml:space="preserve">Druk - Rozdzielczość w pionie (mono) 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ArialMT"/>
                <w:szCs w:val="22"/>
              </w:rPr>
            </w:pPr>
            <w:r w:rsidRPr="00AA4523">
              <w:rPr>
                <w:rFonts w:asciiTheme="minorHAnsi" w:hAnsiTheme="minorHAnsi" w:cs="ArialMT"/>
                <w:szCs w:val="22"/>
              </w:rPr>
              <w:t xml:space="preserve">6000 </w:t>
            </w:r>
            <w:proofErr w:type="spellStart"/>
            <w:r w:rsidRPr="00AA4523">
              <w:rPr>
                <w:rFonts w:asciiTheme="minorHAnsi" w:hAnsiTheme="minorHAnsi" w:cs="ArialMT"/>
                <w:szCs w:val="22"/>
              </w:rPr>
              <w:t>dpi</w:t>
            </w:r>
            <w:proofErr w:type="spellEnd"/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AF2B5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 xml:space="preserve">Typ skanera 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105" w:type="pct"/>
          </w:tcPr>
          <w:p w:rsidR="008477A0" w:rsidRPr="00AF2B53" w:rsidRDefault="008477A0" w:rsidP="00AF2B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AF2B53">
              <w:rPr>
                <w:rFonts w:asciiTheme="minorHAnsi" w:hAnsiTheme="minorHAnsi" w:cs="ArialMT"/>
                <w:sz w:val="22"/>
                <w:szCs w:val="22"/>
              </w:rPr>
              <w:t xml:space="preserve"> kolorowy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tabs>
                <w:tab w:val="left" w:pos="1155"/>
              </w:tabs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Optyczna rozdzielczość skanowania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ArialMT"/>
                <w:szCs w:val="22"/>
              </w:rPr>
            </w:pPr>
            <w:r w:rsidRPr="00AA4523">
              <w:rPr>
                <w:rFonts w:asciiTheme="minorHAnsi" w:hAnsiTheme="minorHAnsi" w:cs="ArialMT"/>
                <w:szCs w:val="22"/>
              </w:rPr>
              <w:t xml:space="preserve">1200 x 2400 </w:t>
            </w:r>
            <w:proofErr w:type="spellStart"/>
            <w:r w:rsidRPr="00AA4523">
              <w:rPr>
                <w:rFonts w:asciiTheme="minorHAnsi" w:hAnsiTheme="minorHAnsi" w:cs="ArialMT"/>
                <w:szCs w:val="22"/>
              </w:rPr>
              <w:t>dpi</w:t>
            </w:r>
            <w:proofErr w:type="spellEnd"/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tabs>
                <w:tab w:val="left" w:pos="1155"/>
              </w:tabs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Kopiarka - Skalowanie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ArialMT"/>
                <w:szCs w:val="22"/>
              </w:rPr>
            </w:pPr>
            <w:r w:rsidRPr="00AA4523">
              <w:rPr>
                <w:rFonts w:asciiTheme="minorHAnsi" w:hAnsiTheme="minorHAnsi" w:cs="ArialMT"/>
                <w:szCs w:val="22"/>
              </w:rPr>
              <w:t>25-400 %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AF2B53">
            <w:pPr>
              <w:tabs>
                <w:tab w:val="left" w:pos="1155"/>
              </w:tabs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 xml:space="preserve">Wydajność 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tuszu </w:t>
            </w:r>
            <w:r w:rsidRPr="00AA4523">
              <w:rPr>
                <w:rFonts w:asciiTheme="minorHAnsi" w:hAnsiTheme="minorHAnsi" w:cs="ArialMT"/>
                <w:sz w:val="22"/>
                <w:szCs w:val="22"/>
              </w:rPr>
              <w:t>standardowego - czarny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ArialMT"/>
                <w:szCs w:val="22"/>
              </w:rPr>
            </w:pPr>
            <w:r w:rsidRPr="00AA4523">
              <w:rPr>
                <w:rFonts w:asciiTheme="minorHAnsi" w:hAnsiTheme="minorHAnsi" w:cs="ArialMT"/>
                <w:szCs w:val="22"/>
              </w:rPr>
              <w:t>6000 stron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tabs>
                <w:tab w:val="left" w:pos="1155"/>
              </w:tabs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 xml:space="preserve">Wydajność </w:t>
            </w:r>
            <w:r w:rsidRPr="00AF2B53">
              <w:rPr>
                <w:rFonts w:asciiTheme="minorHAnsi" w:hAnsiTheme="minorHAnsi" w:cs="ArialMT"/>
                <w:sz w:val="22"/>
                <w:szCs w:val="22"/>
              </w:rPr>
              <w:t>tuszu</w:t>
            </w:r>
            <w:r w:rsidRPr="00AA4523">
              <w:rPr>
                <w:rFonts w:asciiTheme="minorHAnsi" w:hAnsiTheme="minorHAnsi" w:cs="ArialMT"/>
                <w:sz w:val="22"/>
                <w:szCs w:val="22"/>
              </w:rPr>
              <w:t xml:space="preserve"> standardowego - kolor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ArialMT"/>
                <w:szCs w:val="22"/>
              </w:rPr>
            </w:pPr>
            <w:r w:rsidRPr="00AA4523">
              <w:rPr>
                <w:rFonts w:asciiTheme="minorHAnsi" w:hAnsiTheme="minorHAnsi" w:cs="ArialMT"/>
                <w:szCs w:val="22"/>
              </w:rPr>
              <w:t>5000 stron</w:t>
            </w:r>
          </w:p>
        </w:tc>
      </w:tr>
      <w:tr w:rsidR="008477A0" w:rsidRPr="00AA4523" w:rsidTr="008477A0">
        <w:tc>
          <w:tcPr>
            <w:tcW w:w="193" w:type="pct"/>
            <w:vMerge w:val="restar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156" w:type="pct"/>
          </w:tcPr>
          <w:p w:rsidR="008477A0" w:rsidRPr="00BA5A47" w:rsidRDefault="008477A0" w:rsidP="0031672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A5A47">
              <w:rPr>
                <w:rFonts w:asciiTheme="minorHAnsi" w:hAnsiTheme="minorHAnsi"/>
                <w:b/>
                <w:sz w:val="22"/>
                <w:szCs w:val="22"/>
              </w:rPr>
              <w:t>Zestaw głośników</w:t>
            </w:r>
          </w:p>
        </w:tc>
        <w:tc>
          <w:tcPr>
            <w:tcW w:w="545" w:type="pct"/>
            <w:vMerge w:val="restart"/>
          </w:tcPr>
          <w:p w:rsidR="008477A0" w:rsidRPr="00AA4523" w:rsidRDefault="008477A0" w:rsidP="00316724">
            <w:pPr>
              <w:ind w:left="-1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0C83">
              <w:rPr>
                <w:rFonts w:asciiTheme="minorHAnsi" w:hAnsiTheme="minorHAnsi"/>
                <w:sz w:val="22"/>
                <w:szCs w:val="22"/>
              </w:rPr>
              <w:t>Producent i model: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tabs>
                <w:tab w:val="left" w:pos="103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Liczba głośników</w:t>
            </w:r>
            <w:r w:rsidRPr="00AA4523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AF2B5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Moc głośników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14 Wat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AF2B5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Częstotliwość głośnika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 xml:space="preserve">100 </w:t>
            </w:r>
            <w:proofErr w:type="spellStart"/>
            <w:r w:rsidRPr="00AA4523">
              <w:rPr>
                <w:rFonts w:asciiTheme="minorHAnsi" w:hAnsiTheme="minorHAnsi" w:cs="ArialMT"/>
                <w:sz w:val="22"/>
                <w:szCs w:val="22"/>
              </w:rPr>
              <w:t>Hz</w:t>
            </w:r>
            <w:proofErr w:type="spellEnd"/>
            <w:r w:rsidRPr="00AA4523">
              <w:rPr>
                <w:rFonts w:asciiTheme="minorHAnsi" w:hAnsiTheme="minorHAnsi" w:cs="ArialMT"/>
                <w:sz w:val="22"/>
                <w:szCs w:val="22"/>
              </w:rPr>
              <w:t xml:space="preserve"> - 20 KHz</w:t>
            </w:r>
          </w:p>
        </w:tc>
      </w:tr>
      <w:tr w:rsidR="008477A0" w:rsidRPr="000B5A8E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Urządzenia wejścia / wyjścia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MT"/>
                <w:sz w:val="22"/>
                <w:szCs w:val="22"/>
                <w:lang w:val="en-US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  <w:lang w:val="en-US"/>
              </w:rPr>
              <w:t>• 1 x stereo mini-jack (audio in)</w:t>
            </w:r>
          </w:p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  <w:lang w:val="en-US"/>
              </w:rPr>
              <w:t>• 1 x stereo mini-jack (audio out)</w:t>
            </w:r>
          </w:p>
        </w:tc>
      </w:tr>
      <w:tr w:rsidR="008477A0" w:rsidRPr="00AA4523" w:rsidTr="008477A0">
        <w:tc>
          <w:tcPr>
            <w:tcW w:w="193" w:type="pct"/>
            <w:vMerge w:val="restar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156" w:type="pct"/>
          </w:tcPr>
          <w:p w:rsidR="008477A0" w:rsidRPr="00BA5A47" w:rsidRDefault="008477A0" w:rsidP="0031672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A5A47">
              <w:rPr>
                <w:rFonts w:asciiTheme="minorHAnsi" w:hAnsiTheme="minorHAnsi"/>
                <w:b/>
                <w:sz w:val="22"/>
                <w:szCs w:val="22"/>
              </w:rPr>
              <w:t xml:space="preserve">Słuchawki </w:t>
            </w:r>
          </w:p>
        </w:tc>
        <w:tc>
          <w:tcPr>
            <w:tcW w:w="545" w:type="pct"/>
            <w:vMerge w:val="restart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-125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A4523">
              <w:rPr>
                <w:rFonts w:asciiTheme="minorHAnsi" w:hAnsiTheme="minorHAnsi" w:cs="Times New Roman"/>
                <w:color w:val="auto"/>
                <w:szCs w:val="22"/>
              </w:rPr>
              <w:t>20</w:t>
            </w:r>
          </w:p>
        </w:tc>
        <w:tc>
          <w:tcPr>
            <w:tcW w:w="2105" w:type="pct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060C83">
              <w:rPr>
                <w:rFonts w:asciiTheme="minorHAnsi" w:hAnsiTheme="minorHAnsi"/>
                <w:szCs w:val="22"/>
              </w:rPr>
              <w:t>Producent i model: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Rodzaj słuchawek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063AE2">
            <w:pPr>
              <w:autoSpaceDE w:val="0"/>
              <w:autoSpaceDN w:val="0"/>
              <w:adjustRightInd w:val="0"/>
              <w:ind w:left="9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• Nauszne</w:t>
            </w:r>
          </w:p>
          <w:p w:rsidR="008477A0" w:rsidRPr="00AA4523" w:rsidRDefault="008477A0" w:rsidP="00063AE2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9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A4523">
              <w:rPr>
                <w:rFonts w:asciiTheme="minorHAnsi" w:hAnsiTheme="minorHAnsi" w:cs="ArialMT"/>
                <w:szCs w:val="22"/>
              </w:rPr>
              <w:t>• Zamknięte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Mikrofon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A4523">
              <w:rPr>
                <w:rFonts w:asciiTheme="minorHAnsi" w:hAnsiTheme="minorHAnsi" w:cs="Times New Roman"/>
                <w:color w:val="auto"/>
                <w:szCs w:val="22"/>
              </w:rPr>
              <w:t>Tak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Rodzaj złącza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A4523">
              <w:rPr>
                <w:rFonts w:asciiTheme="minorHAnsi" w:hAnsiTheme="minorHAnsi" w:cs="ArialMT"/>
                <w:szCs w:val="22"/>
              </w:rPr>
              <w:t>2 x mini-</w:t>
            </w:r>
            <w:proofErr w:type="spellStart"/>
            <w:r w:rsidRPr="00AA4523">
              <w:rPr>
                <w:rFonts w:asciiTheme="minorHAnsi" w:hAnsiTheme="minorHAnsi" w:cs="ArialMT"/>
                <w:szCs w:val="22"/>
              </w:rPr>
              <w:t>jack</w:t>
            </w:r>
            <w:proofErr w:type="spellEnd"/>
            <w:r w:rsidRPr="00AA4523">
              <w:rPr>
                <w:rFonts w:asciiTheme="minorHAnsi" w:hAnsiTheme="minorHAnsi" w:cs="ArialMT"/>
                <w:szCs w:val="22"/>
              </w:rPr>
              <w:t xml:space="preserve"> 3.5mm (</w:t>
            </w:r>
            <w:proofErr w:type="spellStart"/>
            <w:r w:rsidRPr="00AA4523">
              <w:rPr>
                <w:rFonts w:asciiTheme="minorHAnsi" w:hAnsiTheme="minorHAnsi" w:cs="ArialMT"/>
                <w:szCs w:val="22"/>
              </w:rPr>
              <w:t>słuchawki+mikrofon</w:t>
            </w:r>
            <w:proofErr w:type="spellEnd"/>
            <w:r w:rsidRPr="00AA4523">
              <w:rPr>
                <w:rFonts w:asciiTheme="minorHAnsi" w:hAnsiTheme="minorHAnsi" w:cs="ArialMT"/>
                <w:szCs w:val="22"/>
              </w:rPr>
              <w:t>)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Długość przewodu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A4523">
              <w:rPr>
                <w:rFonts w:asciiTheme="minorHAnsi" w:hAnsiTheme="minorHAnsi" w:cs="ArialMT"/>
                <w:szCs w:val="22"/>
              </w:rPr>
              <w:t>2 metry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Regulacja głośności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A4523">
              <w:rPr>
                <w:rFonts w:asciiTheme="minorHAnsi" w:hAnsiTheme="minorHAnsi" w:cs="Times New Roman"/>
                <w:color w:val="auto"/>
                <w:szCs w:val="22"/>
              </w:rPr>
              <w:t>Tak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Pasmo przenoszenia (słuchawki)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A4523">
              <w:rPr>
                <w:rFonts w:asciiTheme="minorHAnsi" w:hAnsiTheme="minorHAnsi" w:cs="ArialMT"/>
                <w:szCs w:val="22"/>
              </w:rPr>
              <w:t xml:space="preserve">20-20000 </w:t>
            </w:r>
            <w:proofErr w:type="spellStart"/>
            <w:r w:rsidRPr="00AA4523">
              <w:rPr>
                <w:rFonts w:asciiTheme="minorHAnsi" w:hAnsiTheme="minorHAnsi" w:cs="ArialMT"/>
                <w:szCs w:val="22"/>
              </w:rPr>
              <w:t>Hz</w:t>
            </w:r>
            <w:proofErr w:type="spellEnd"/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Impedancja słuchawek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A4523">
              <w:rPr>
                <w:rFonts w:asciiTheme="minorHAnsi" w:hAnsiTheme="minorHAnsi" w:cs="ArialMT"/>
                <w:szCs w:val="22"/>
              </w:rPr>
              <w:t>32 Ohm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Czułość słuchawek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A4523">
              <w:rPr>
                <w:rFonts w:asciiTheme="minorHAnsi" w:hAnsiTheme="minorHAnsi" w:cs="ArialMT"/>
                <w:szCs w:val="22"/>
              </w:rPr>
              <w:t xml:space="preserve">100 </w:t>
            </w:r>
            <w:proofErr w:type="spellStart"/>
            <w:r w:rsidRPr="00AA4523">
              <w:rPr>
                <w:rFonts w:asciiTheme="minorHAnsi" w:hAnsiTheme="minorHAnsi" w:cs="ArialMT"/>
                <w:szCs w:val="22"/>
              </w:rPr>
              <w:t>dB</w:t>
            </w:r>
            <w:proofErr w:type="spellEnd"/>
            <w:r w:rsidRPr="00AA4523">
              <w:rPr>
                <w:rFonts w:asciiTheme="minorHAnsi" w:hAnsiTheme="minorHAnsi" w:cs="ArialMT"/>
                <w:szCs w:val="22"/>
              </w:rPr>
              <w:t>/</w:t>
            </w:r>
            <w:proofErr w:type="spellStart"/>
            <w:r w:rsidRPr="00AA4523">
              <w:rPr>
                <w:rFonts w:asciiTheme="minorHAnsi" w:hAnsiTheme="minorHAnsi" w:cs="ArialMT"/>
                <w:szCs w:val="22"/>
              </w:rPr>
              <w:t>mW</w:t>
            </w:r>
            <w:proofErr w:type="spellEnd"/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Pasmo przenoszenia (mikrofon)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A4523">
              <w:rPr>
                <w:rFonts w:asciiTheme="minorHAnsi" w:hAnsiTheme="minorHAnsi" w:cs="ArialMT"/>
                <w:szCs w:val="22"/>
              </w:rPr>
              <w:t xml:space="preserve">30-16000 </w:t>
            </w:r>
            <w:proofErr w:type="spellStart"/>
            <w:r w:rsidRPr="00AA4523">
              <w:rPr>
                <w:rFonts w:asciiTheme="minorHAnsi" w:hAnsiTheme="minorHAnsi" w:cs="ArialMT"/>
                <w:szCs w:val="22"/>
              </w:rPr>
              <w:t>Hz</w:t>
            </w:r>
            <w:proofErr w:type="spellEnd"/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Impedancja mikrofonu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A4523">
              <w:rPr>
                <w:rFonts w:asciiTheme="minorHAnsi" w:hAnsiTheme="minorHAnsi" w:cs="ArialMT"/>
                <w:szCs w:val="22"/>
              </w:rPr>
              <w:t xml:space="preserve">2,2 </w:t>
            </w:r>
            <w:proofErr w:type="spellStart"/>
            <w:r w:rsidRPr="00AA4523">
              <w:rPr>
                <w:rFonts w:asciiTheme="minorHAnsi" w:hAnsiTheme="minorHAnsi" w:cs="ArialMT"/>
                <w:szCs w:val="22"/>
              </w:rPr>
              <w:t>kohm</w:t>
            </w:r>
            <w:proofErr w:type="spellEnd"/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 w:cs="ArialMT"/>
                <w:sz w:val="22"/>
                <w:szCs w:val="22"/>
              </w:rPr>
            </w:pPr>
            <w:r w:rsidRPr="00AA4523">
              <w:rPr>
                <w:rFonts w:asciiTheme="minorHAnsi" w:hAnsiTheme="minorHAnsi" w:cs="ArialMT"/>
                <w:sz w:val="22"/>
                <w:szCs w:val="22"/>
              </w:rPr>
              <w:t>Czułość mikrofonu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A4523">
              <w:rPr>
                <w:rFonts w:asciiTheme="minorHAnsi" w:hAnsiTheme="minorHAnsi" w:cs="ArialMT"/>
                <w:szCs w:val="22"/>
              </w:rPr>
              <w:t xml:space="preserve">- 40 </w:t>
            </w:r>
            <w:proofErr w:type="spellStart"/>
            <w:r w:rsidRPr="00AA4523">
              <w:rPr>
                <w:rFonts w:asciiTheme="minorHAnsi" w:hAnsiTheme="minorHAnsi" w:cs="ArialMT"/>
                <w:szCs w:val="22"/>
              </w:rPr>
              <w:t>dBV</w:t>
            </w:r>
            <w:proofErr w:type="spellEnd"/>
            <w:r w:rsidRPr="00AA4523">
              <w:rPr>
                <w:rFonts w:asciiTheme="minorHAnsi" w:hAnsiTheme="minorHAnsi" w:cs="ArialMT"/>
                <w:szCs w:val="22"/>
              </w:rPr>
              <w:t>/Pa</w:t>
            </w:r>
          </w:p>
        </w:tc>
      </w:tr>
      <w:tr w:rsidR="008477A0" w:rsidRPr="00AA4523" w:rsidTr="008477A0">
        <w:tc>
          <w:tcPr>
            <w:tcW w:w="193" w:type="pct"/>
            <w:vMerge w:val="restar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156" w:type="pct"/>
          </w:tcPr>
          <w:p w:rsidR="008477A0" w:rsidRPr="00BA5A47" w:rsidRDefault="008477A0" w:rsidP="0031672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A5A47">
              <w:rPr>
                <w:rFonts w:asciiTheme="minorHAnsi" w:hAnsiTheme="minorHAnsi"/>
                <w:b/>
                <w:sz w:val="22"/>
                <w:szCs w:val="22"/>
              </w:rPr>
              <w:t>Dysk przenośny</w:t>
            </w:r>
          </w:p>
        </w:tc>
        <w:tc>
          <w:tcPr>
            <w:tcW w:w="545" w:type="pct"/>
            <w:vMerge w:val="restart"/>
          </w:tcPr>
          <w:p w:rsidR="008477A0" w:rsidRPr="00AA4523" w:rsidRDefault="008477A0" w:rsidP="00316724">
            <w:pPr>
              <w:ind w:left="-1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0C83">
              <w:rPr>
                <w:rFonts w:asciiTheme="minorHAnsi" w:hAnsiTheme="minorHAnsi"/>
                <w:sz w:val="22"/>
                <w:szCs w:val="22"/>
              </w:rPr>
              <w:t>Producent i model: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D008A">
              <w:rPr>
                <w:rFonts w:asciiTheme="minorHAnsi" w:hAnsiTheme="minorHAnsi"/>
                <w:sz w:val="22"/>
                <w:szCs w:val="22"/>
              </w:rPr>
              <w:t>Typ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zewnętrzny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D008A">
              <w:rPr>
                <w:rFonts w:asciiTheme="minorHAnsi" w:hAnsiTheme="minorHAnsi"/>
                <w:sz w:val="22"/>
                <w:szCs w:val="22"/>
              </w:rPr>
              <w:t xml:space="preserve">Pojemność 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1 TB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D008A">
              <w:rPr>
                <w:rFonts w:asciiTheme="minorHAnsi" w:hAnsiTheme="minorHAnsi"/>
                <w:sz w:val="22"/>
                <w:szCs w:val="22"/>
              </w:rPr>
              <w:t xml:space="preserve">Format 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2,5"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Typ podłączenia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eastAsia="Times New Roman" w:hAnsiTheme="minorHAnsi"/>
                <w:sz w:val="22"/>
                <w:szCs w:val="22"/>
              </w:rPr>
              <w:t>USB 3.0 i USB 2.0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D008A">
              <w:rPr>
                <w:rFonts w:asciiTheme="minorHAnsi" w:hAnsiTheme="minorHAnsi"/>
                <w:sz w:val="22"/>
                <w:szCs w:val="22"/>
              </w:rPr>
              <w:t xml:space="preserve">Obroty na min. 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 xml:space="preserve">5400 </w:t>
            </w:r>
            <w:proofErr w:type="spellStart"/>
            <w:r w:rsidRPr="00AA4523">
              <w:rPr>
                <w:rFonts w:asciiTheme="minorHAnsi" w:hAnsiTheme="minorHAnsi"/>
                <w:sz w:val="22"/>
                <w:szCs w:val="22"/>
              </w:rPr>
              <w:t>obr</w:t>
            </w:r>
            <w:proofErr w:type="spellEnd"/>
            <w:r w:rsidRPr="00AA4523">
              <w:rPr>
                <w:rFonts w:asciiTheme="minorHAnsi" w:hAnsiTheme="minorHAnsi"/>
                <w:sz w:val="22"/>
                <w:szCs w:val="22"/>
              </w:rPr>
              <w:t>/min</w:t>
            </w:r>
          </w:p>
        </w:tc>
      </w:tr>
      <w:tr w:rsidR="008477A0" w:rsidRPr="00AA4523" w:rsidTr="008477A0">
        <w:tc>
          <w:tcPr>
            <w:tcW w:w="193" w:type="pct"/>
            <w:vMerge w:val="restar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2156" w:type="pct"/>
          </w:tcPr>
          <w:p w:rsidR="008477A0" w:rsidRPr="00BA5A47" w:rsidRDefault="008477A0" w:rsidP="0031672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A5A47">
              <w:rPr>
                <w:rFonts w:asciiTheme="minorHAnsi" w:hAnsiTheme="minorHAnsi"/>
                <w:b/>
                <w:sz w:val="22"/>
                <w:szCs w:val="22"/>
              </w:rPr>
              <w:t xml:space="preserve">pamięć zewnętrzna pendrive </w:t>
            </w:r>
          </w:p>
          <w:p w:rsidR="008477A0" w:rsidRPr="00AA4523" w:rsidRDefault="008477A0" w:rsidP="003167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" w:type="pct"/>
            <w:vMerge w:val="restart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-125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A4523">
              <w:rPr>
                <w:rFonts w:asciiTheme="minorHAnsi" w:hAnsiTheme="minorHAnsi" w:cs="Times New Roman"/>
                <w:color w:val="auto"/>
                <w:szCs w:val="22"/>
              </w:rPr>
              <w:t>20</w:t>
            </w:r>
          </w:p>
        </w:tc>
        <w:tc>
          <w:tcPr>
            <w:tcW w:w="2105" w:type="pct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Interfejs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BA5A47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-133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F2B53">
              <w:rPr>
                <w:rFonts w:asciiTheme="minorHAnsi" w:hAnsiTheme="minorHAnsi"/>
                <w:szCs w:val="22"/>
              </w:rPr>
              <w:t>USB 3.0</w:t>
            </w:r>
          </w:p>
        </w:tc>
      </w:tr>
      <w:tr w:rsidR="008477A0" w:rsidRPr="00AA4523" w:rsidTr="008477A0">
        <w:tc>
          <w:tcPr>
            <w:tcW w:w="193" w:type="pct"/>
            <w:vMerge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AA4523" w:rsidRDefault="008477A0" w:rsidP="003167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Pojemność</w:t>
            </w:r>
          </w:p>
        </w:tc>
        <w:tc>
          <w:tcPr>
            <w:tcW w:w="545" w:type="pct"/>
            <w:vMerge/>
            <w:vAlign w:val="center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BA5A47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-133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A4523">
              <w:rPr>
                <w:rFonts w:asciiTheme="minorHAnsi" w:hAnsiTheme="minorHAnsi"/>
                <w:szCs w:val="22"/>
              </w:rPr>
              <w:t>16 GB</w:t>
            </w:r>
          </w:p>
        </w:tc>
      </w:tr>
      <w:tr w:rsidR="008477A0" w:rsidRPr="00AA4523" w:rsidTr="008477A0">
        <w:tc>
          <w:tcPr>
            <w:tcW w:w="193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2156" w:type="pct"/>
          </w:tcPr>
          <w:p w:rsidR="008477A0" w:rsidRPr="00BA5A47" w:rsidRDefault="008477A0" w:rsidP="0031672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A5A4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Oprogramowanie biurowe</w:t>
            </w:r>
          </w:p>
        </w:tc>
        <w:tc>
          <w:tcPr>
            <w:tcW w:w="545" w:type="pct"/>
            <w:vAlign w:val="center"/>
          </w:tcPr>
          <w:p w:rsidR="008477A0" w:rsidRPr="00AA4523" w:rsidRDefault="008477A0" w:rsidP="00316724">
            <w:pPr>
              <w:ind w:left="-1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105" w:type="pct"/>
          </w:tcPr>
          <w:p w:rsidR="008477A0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Pakiet biurowy Microsoft Office 2016 lub równoważny (warunki równoważności poniżej)</w:t>
            </w:r>
          </w:p>
          <w:p w:rsidR="008477A0" w:rsidRPr="00AA4523" w:rsidRDefault="008477A0" w:rsidP="00DA1D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licencja zbiorowa umożliwiająca korzystanie na 8 stanowiskach z jednym kluczem aktywacyjnym, nieograniczony czasowo.</w:t>
            </w:r>
          </w:p>
        </w:tc>
      </w:tr>
      <w:tr w:rsidR="008477A0" w:rsidRPr="00AA4523" w:rsidTr="008477A0">
        <w:tc>
          <w:tcPr>
            <w:tcW w:w="193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13</w:t>
            </w:r>
          </w:p>
        </w:tc>
        <w:tc>
          <w:tcPr>
            <w:tcW w:w="2156" w:type="pct"/>
          </w:tcPr>
          <w:p w:rsidR="008477A0" w:rsidRPr="00BA5A47" w:rsidRDefault="008477A0" w:rsidP="00316724">
            <w:pPr>
              <w:jc w:val="both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>Program antywirusowy</w:t>
            </w:r>
          </w:p>
        </w:tc>
        <w:tc>
          <w:tcPr>
            <w:tcW w:w="545" w:type="pct"/>
            <w:vAlign w:val="center"/>
          </w:tcPr>
          <w:p w:rsidR="008477A0" w:rsidRPr="00AA4523" w:rsidRDefault="008477A0" w:rsidP="00316724">
            <w:pPr>
              <w:ind w:left="-125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Nazwa</w:t>
            </w:r>
          </w:p>
        </w:tc>
      </w:tr>
      <w:tr w:rsidR="008477A0" w:rsidRPr="00AA4523" w:rsidTr="008477A0">
        <w:tc>
          <w:tcPr>
            <w:tcW w:w="193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pct"/>
          </w:tcPr>
          <w:p w:rsidR="008477A0" w:rsidRPr="00BA5A47" w:rsidRDefault="008477A0" w:rsidP="0031672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5" w:type="pct"/>
            <w:vAlign w:val="center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-125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A4523">
              <w:rPr>
                <w:rFonts w:asciiTheme="minorHAnsi" w:hAnsiTheme="minorHAnsi" w:cs="Times New Roman"/>
                <w:color w:val="auto"/>
                <w:szCs w:val="22"/>
              </w:rPr>
              <w:t>40</w:t>
            </w:r>
          </w:p>
        </w:tc>
        <w:tc>
          <w:tcPr>
            <w:tcW w:w="2105" w:type="pct"/>
          </w:tcPr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Pełne wsparcie dla systemu Windows XP SP3/Vista/Windows 7/Windows8/Windows 8.1/Windows 8.1 Update/10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Wersja programu dla stacji roboczych Windows dostępna zarówno w języku polskim jak i angielskim.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Skuteczność programu potwierdzona nagrodami VB100 i AV-</w:t>
            </w:r>
            <w:proofErr w:type="spellStart"/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comparatives</w:t>
            </w:r>
            <w:proofErr w:type="spellEnd"/>
          </w:p>
          <w:p w:rsidR="008477A0" w:rsidRPr="00AA4523" w:rsidRDefault="008477A0" w:rsidP="00BA5A47">
            <w:pPr>
              <w:autoSpaceDE w:val="0"/>
              <w:autoSpaceDN w:val="0"/>
              <w:adjustRightInd w:val="0"/>
              <w:ind w:left="1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477A0" w:rsidRPr="00AA4523" w:rsidRDefault="008477A0" w:rsidP="00BA5A47">
            <w:pPr>
              <w:pStyle w:val="Tekstpodstawowy"/>
              <w:spacing w:line="240" w:lineRule="auto"/>
              <w:ind w:left="1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Ochrona antywirusowa i </w:t>
            </w:r>
            <w:proofErr w:type="spellStart"/>
            <w:r w:rsidRPr="00AA45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antyspyware</w:t>
            </w:r>
            <w:proofErr w:type="spellEnd"/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Pełna ochrona przed wirusami, trojanami, robakami i innymi zagrożeniami.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 xml:space="preserve">Wbudowana technologia do ochrony przed </w:t>
            </w:r>
            <w:proofErr w:type="spellStart"/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rootkitami</w:t>
            </w:r>
            <w:proofErr w:type="spellEnd"/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Wykrywanie potencjalnie niepożądanych, niebezpiecznych oraz podejrzanych aplikacji.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Skanowanie w czasie rzeczywistym otwieranych, zapisywanych i wykonywanych plików.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System ma oferować administratorowi możliwość definiowania zadań w harmonogramie w taki sposób, aby zadanie przed wykonaniem sprawdzało czy komputer pracuje na zasilaniu bateryjnym i jeśli tak – nie wykonywało danego zadania.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Możliwość utworzenia wielu różnych zadań skanowania według harmonogramu (w tym: co godzinę, po zalogowaniu i po uruchomieniu komputera). Każde zadanie ma mieć możliwość uruchomienia z innymi ustawieniami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Możliwość określania poziomu obciążenia procesora (CPU) podczas skanowania „na żądanie” i według harmonogramu.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Możliwość automatycznego wyłączenia komputera po zakończonym skanowaniu.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Brak konieczności ponownego uruchomienia (restartu) komputera po instalacji programu.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 xml:space="preserve">Użytkownik musi posiadać możliwość tymczasowego </w:t>
            </w:r>
            <w:r w:rsidRPr="00AA452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wyłączenia ochrony na czas co najmniej 10 min lub do ponownego uruchomienia komputera.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Ponowne włączenie ochrony antywirusowej nie może wymagać od użytkownika ponownego uruchomienia komputera.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Możliwość przeniesienia zainfekowanych plików i załączników poczty w bezpieczny obszar dysku (do katalogu kwarantanny) w celu dalszej kontroli. Pliki muszą być przechowywane w katalogu kwarantanny w postaci zaszyfrowanej.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Wbudowany konektor dla programów MS Outlook, Outlook Express, Windows Mail i Windows Live Mail (funkcje programu dostępne są bezpośrednio z menu programu pocztowego).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Skanowanie i oczyszczanie poczty przychodzącej POP3 i IMAP "w locie" (w czasie rzeczywistym), zanim zostanie dostarczona do klienta pocztowego zainstalowanego na stacji roboczej (niezależnie od konkretnego klienta pocztowego).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Automatyczna integracja skanera POP3 i IMAP z dowolnym klientem pocztowym bez konieczności zmian w konfiguracji.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Możliwość opcjonalnego dołączenia informacji o przeskanowaniu do każdej odbieranej wiadomości e-mail lub tylko do zainfekowanych wiadomości e-mail.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Skanowanie ruchu HTTP na poziomie stacji roboczych. Zainfekowany ruch jest automatycznie blokowany a użytkownikowi wyświetlane jest stosowne powiadomienie.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 xml:space="preserve">Blokowanie możliwości przeglądania wybranych stron internetowych. Listę blokowanych stron internetowych </w:t>
            </w:r>
            <w:r w:rsidRPr="00AA452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określa administrator. Program musi umożliwić blokowanie danej strony internetowej po podaniu na liście całej nazwy strony lub tylko wybranego słowa występującego w nazwie strony.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Automatyczna integracja z dowolną przeglądarką internetową bez konieczności zmian w konfiguracji.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Program ma umożliwiać skanowanie ruchu sieciowego wewnątrz szyfrowanych protokołów HTTPS, POP3S, IMAPS.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Program ma zapewniać skanowanie ruchu HTTPS transparentnie bez potrzeby konfiguracji zewnętrznych aplikacji takich jak przeglądarki Web lub programy pocztowe.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 xml:space="preserve">Możliwość zgłoszenia witryny z podejrzeniem </w:t>
            </w:r>
            <w:proofErr w:type="spellStart"/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phishingu</w:t>
            </w:r>
            <w:proofErr w:type="spellEnd"/>
            <w:r w:rsidRPr="00AA4523">
              <w:rPr>
                <w:rFonts w:asciiTheme="minorHAnsi" w:hAnsiTheme="minorHAnsi" w:cstheme="minorHAnsi"/>
                <w:sz w:val="22"/>
                <w:szCs w:val="22"/>
              </w:rPr>
              <w:t xml:space="preserve"> z poziomu graficznego interfejsu użytkownika w celu analizy przez laboratorium producenta.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Program musi posiadać funkcjonalność która na bieżąco będzie odpytywać serwery producenta o znane i bezpieczne procesy uruchomione na komputerze użytkownika.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Procesy zweryfikowane jako bezpieczne mają być pomijane podczas procesu skanowania na żądanie oraz przez moduły ochrony w czasie rzeczywistym.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Użytkownik musi posiadać możliwość przesłania pliku celem zweryfikowania jego reputacji bezpośrednio z poziomu menu kontekstowego.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 xml:space="preserve">Wbudowane dwa niezależne moduły heurystyczne – jeden wykorzystujący pasywne metody heurystyczne (heurystyka) i drugi wykorzystujący aktywne metody heurystyczne oraz elementy sztucznej inteligencji (zaawansowana heurystyka). Musi istnieć możliwość </w:t>
            </w:r>
            <w:r w:rsidRPr="00AA452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wyboru, z jaką heurystyka ma odbywać się skanowanie – z użyciem jednej i/lub obu metod jednocześnie.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Możliwość automatycznego wysyłania nowych zagrożeń (wykrytych przez metody heurystyczne) do laboratoriów producenta bezpośrednio z programu (nie wymaga ingerencji użytkownika). Użytkownik musi mieć możliwość określenia rozszerzeń dla plików, które nie będą wysyłane automatycznie, oraz czy próbki zagrożeń mają być wysyłane w pełni automatycznie czy też po dodatkowym potwierdzeniu przez użytkownika.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Do wysłania próbki zagrożenia do laboratorium producenta aplikacja nie może wykorzystywać klienta pocztowego wykorzystywanego na komputerze użytkownika.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Możliwość zabezpieczenia konfiguracji programu hasłem, w taki sposób, aby użytkownik siedzący przy komputerze przy próbie dostępu do konfiguracji był proszony o podanie hasła.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Hasło do zabezpieczenia konfiguracji programu oraz deinstalacji musi być takie samo.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Program ma mieć możliwość kontroli zainstalowanych aktualizacji systemu operacyjnego i w przypadku braku jakiejś aktualizacji – poinformować o tym użytkownika i administratora wraz z listą niezainstalowanych aktualizacji.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Po instalacji programu, użytkownik ma mieć możliwość przygotowania płyty CD, DVD lub pamięci USB, z której będzie w stanie uruchomić komputer w przypadku infekcji i przeskanować dysk w poszukiwaniu wirusów.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 xml:space="preserve">System antywirusowy uruchomiony z płyty </w:t>
            </w:r>
            <w:proofErr w:type="spellStart"/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bootowalnej</w:t>
            </w:r>
            <w:proofErr w:type="spellEnd"/>
            <w:r w:rsidRPr="00AA4523">
              <w:rPr>
                <w:rFonts w:asciiTheme="minorHAnsi" w:hAnsiTheme="minorHAnsi" w:cstheme="minorHAnsi"/>
                <w:sz w:val="22"/>
                <w:szCs w:val="22"/>
              </w:rPr>
              <w:t xml:space="preserve"> lub pamięci USB ma umożliwiać pełną aktualizację baz </w:t>
            </w:r>
            <w:r w:rsidRPr="00AA452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sygnatur wirusów z Internetu lub z bazy zapisanej na dysku.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 xml:space="preserve">Program ma umożliwiać administratorowi blokowanie zewnętrznych nośników danych na stacji w tym przynajmniej: Pamięci masowych, optycznych pamięci masowych, pamięci masowych </w:t>
            </w:r>
            <w:proofErr w:type="spellStart"/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Firewire</w:t>
            </w:r>
            <w:proofErr w:type="spellEnd"/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, urządzeń do tworzenia obrazów, drukarek USB, urządzeń Bluetooth, czytników kart inteligentnych, modemów, portów LPT/COM , urządzeń przenośnych oraz urządzeń dowolnego typu.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Funkcja blokowania nośników wymiennych bądź grup urządzeń ma umożliwiać użytkownikowi tworzenie reguł dla podłączanych urządzeń minimum w oparciu o typ urządzenia, numer seryjny urządzenia, dostawcę urządzenia, model.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Program ma umożliwiać użytkownikowi nadanie uprawnień dla podłączanych urządzeń w tym co najmniej: dostęp w trybie do odczytu, pełen dostęp, ostrzeżenie brak dostępu do podłączanego urządzenia.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Program ma posiadać funkcjonalność umożliwiającą zastosowanie reguł dla podłączanych urządzeń w zależności od zalogowanego użytkownika.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W momencie podłączenia zewnętrznego nośnika aplikacja musi wyświetlić użytkownikowi odpowiedni komunikat i umożliwić natychmiastowe przeskanowanie całej zawartości podłączanego nośnika.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Użytkownik ma posiadać możliwość takiej konfiguracji programu aby skanowanie całego nośnika odbywało się automatycznie lub za potwierdzeniem przez użytkownika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 xml:space="preserve">Program musi być wyposażony w system zapobiegania </w:t>
            </w:r>
            <w:r w:rsidRPr="00AA452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włamaniom działający na hoście (HIPS).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Oprogramowanie musi posiadać zaawansowany skaner pamięci.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 xml:space="preserve">Program musi być wyposażona w mechanizm ochrony przed </w:t>
            </w:r>
            <w:proofErr w:type="spellStart"/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exploitami</w:t>
            </w:r>
            <w:proofErr w:type="spellEnd"/>
            <w:r w:rsidRPr="00AA4523">
              <w:rPr>
                <w:rFonts w:asciiTheme="minorHAnsi" w:hAnsiTheme="minorHAnsi" w:cstheme="minorHAnsi"/>
                <w:sz w:val="22"/>
                <w:szCs w:val="22"/>
              </w:rPr>
              <w:t xml:space="preserve"> w popularnych aplikacjach np. czytnikach PDF, aplikacjach JAVA itp.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Program ma być wyposażony we wbudowaną funkcję, która wygeneruje pełny raport na temat stacji, na której został zainstalowany w tym przynajmniej z: zainstalowanych aplikacji, usług systemowych, informacji o systemie operacyjnym i sprzęcie, aktywnych procesach i połączeniach.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Funkcja generująca taki log ma oferować przynajmniej 9 poziomów filtrowania wyników pod kątem tego, które z nich są podejrzane dla programu i mogą stanowić dla niego zagrożenie bezpieczeństwa.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Program ma oferować funkcję, która aktywnie monitoruje i skutecznie blokuje działania wszystkich plików programu, jego procesów, usług i wpisów w rejestrze przed próbą ich modyfikacji przez aplikacje trzecie.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Automatyczna, inkrementacyjna aktualizacja baz wirusów i innych zagrożeń dostępna z Internetu.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Możliwość określenia maksymalnego czasu ważności dla bazy danych sygnatur, po upływie czasu i braku aktualizacji program zgłosi posiadanie nieaktualnej bazy sygnatur.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Program musi posiadać funkcjonalność tworzenia lokalnego repozytorium aktualizacji.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 xml:space="preserve">Program musi posiadać funkcjonalność udostępniania tworzonego repozytorium aktualizacji za pomocą </w:t>
            </w:r>
            <w:r w:rsidRPr="00AA452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wbudowanego w program serwera http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Program musi być wyposażona w funkcjonalność umożliwiającą tworzenie kopii wcześniejszych aktualizacji w celu ich późniejszego przywrócenia (</w:t>
            </w:r>
            <w:proofErr w:type="spellStart"/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rollback</w:t>
            </w:r>
            <w:proofErr w:type="spellEnd"/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 xml:space="preserve">Program wyposażony tylko w jeden skaner uruchamiany w pamięci, z którego korzystają wszystkie funkcje systemu (antywirus, </w:t>
            </w:r>
            <w:proofErr w:type="spellStart"/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antyspyware</w:t>
            </w:r>
            <w:proofErr w:type="spellEnd"/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, metody heurystyczne).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Program ma być w pełni zgodny z technologią CISCO Network Access Control.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W momencie wykrycia trybu pełno ekranowego aplikacja ma wstrzymać wyświetlanie wszelkich powiadomień związanych ze swoją pracą oraz wstrzymać swoje zadania znajdujące się w harmonogramie zadań aplikacji.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Program ma być wyposażony w dziennik zdarzeń rejestrujący informacje na temat znalezionych zagrożeń, pracy zapory osobistej, modułu antyspamowego, kontroli stron Internetowych i kontroli urządzeń, skanowania na żądanie i według harmonogramu, dokonanych aktualizacji baz wirusów i samego oprogramowania.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Wsparcie techniczne do programu świadczone w języku polskim przez polskiego dystrybutora autoryzowanego przez producenta programu.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Program musi posiadać możliwość aktywacji poprzez podanie konta administratora licencji, podanie klucza licencyjnego oraz możliwość aktywacji programu offline.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 xml:space="preserve">W programie musi istnieć możliwość tymczasowego </w:t>
            </w:r>
            <w:r w:rsidRPr="00AA452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wstrzymania polityk wysłanych z poziomu serwera zdalnej administracji.</w:t>
            </w:r>
          </w:p>
          <w:p w:rsidR="008477A0" w:rsidRPr="00AA4523" w:rsidRDefault="008477A0" w:rsidP="00BA5A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sz w:val="22"/>
                <w:szCs w:val="22"/>
              </w:rPr>
              <w:t>Wstrzymanie polityk ma umożliwić lokalną zmianę ustawień programu na stacji końcowej.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2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>Możliwość zmiany konfiguracji programu z poziomu dedykowanego modułu wiersza poleceń. Zmiana konfiguracji jest w takim przypadku autoryzowana bez hasła lub za pomocą hasła do ustawień zaawansowanych.</w:t>
            </w:r>
          </w:p>
          <w:p w:rsidR="008477A0" w:rsidRPr="00AA4523" w:rsidRDefault="008477A0" w:rsidP="00BA5A47">
            <w:pPr>
              <w:pStyle w:val="Tekstpodstawowy"/>
              <w:spacing w:line="240" w:lineRule="auto"/>
              <w:ind w:left="1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477A0" w:rsidRPr="00AA4523" w:rsidRDefault="008477A0" w:rsidP="00BA5A47">
            <w:pPr>
              <w:pStyle w:val="Tekstpodstawowy"/>
              <w:spacing w:line="240" w:lineRule="auto"/>
              <w:ind w:left="1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477A0" w:rsidRPr="00AA4523" w:rsidRDefault="008477A0" w:rsidP="00BA5A47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4523">
              <w:rPr>
                <w:rFonts w:asciiTheme="minorHAnsi" w:hAnsiTheme="minorHAnsi" w:cstheme="minorHAnsi"/>
                <w:b/>
                <w:sz w:val="22"/>
                <w:szCs w:val="22"/>
              </w:rPr>
              <w:t>Administracja zdalna</w:t>
            </w:r>
          </w:p>
          <w:p w:rsidR="008477A0" w:rsidRPr="00AA4523" w:rsidRDefault="008477A0" w:rsidP="00BA5A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>Serwer administracyjny musi oferować możliwość instalacji na systemach Windows Server 2003, 2008, 2012 oraz systemach Linux.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>Musi istnieć możliwość pobrania ze strony producenta serwera zarządzającego w postaci gotowej maszyny wirtualnej w formacie OVA (Open Virtual Appliance).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>Serwer administracyjny musi wspierać instalację w oparciu o co najmniej bazy danych MS SQL i MySQL.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>Administrator musi posiadać możliwość pobrania wszystkich wymaganych elementów serwera centralnej administracji i konsoli w postaci jednego pakietu instalacyjnego lub każdego z modułów oddzielnie bezpośrednio ze strony producenta.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>Dostęp do konsoli centralnego zarządzania musi odbywać się z poziomu interfejsu WWW niezależnie od platformy sprzętowej i programowej.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>Narzędzie musi być kompatybilne z protokołami IPv4 oraz IPv6.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lastRenderedPageBreak/>
              <w:t>Podczas logowania administrator musi mieć możliwość wyboru języka w jakim zostanie wyświetlony panel zarządzający.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>Komunikacja z konsolą powinna być zabezpieczona się za pośrednictwem protokołu SSL.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>Narzędzie do administracji zdalnej musi posiadać moduł pozwalający na wykrycie niezarządzanych stacji roboczych w sieci.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>Serwer administracyjny musi posiadać mechanizm instalacji zdalnej agenta na stacjach roboczych.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>Instalacja serwera administracyjnego powinna oferować wybór trybu pracy serwera w sieci w przypadku rozproszonych sieci –serwer pośredniczący (</w:t>
            </w:r>
            <w:proofErr w:type="spellStart"/>
            <w:r w:rsidRPr="00AA4523">
              <w:rPr>
                <w:rFonts w:asciiTheme="minorHAnsi" w:hAnsiTheme="minorHAnsi" w:cstheme="minorHAnsi"/>
                <w:szCs w:val="22"/>
              </w:rPr>
              <w:t>proxy</w:t>
            </w:r>
            <w:proofErr w:type="spellEnd"/>
            <w:r w:rsidRPr="00AA4523">
              <w:rPr>
                <w:rFonts w:asciiTheme="minorHAnsi" w:hAnsiTheme="minorHAnsi" w:cstheme="minorHAnsi"/>
                <w:szCs w:val="22"/>
              </w:rPr>
              <w:t>) lub serwer centralny.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 xml:space="preserve">Serwer </w:t>
            </w:r>
            <w:proofErr w:type="spellStart"/>
            <w:r w:rsidRPr="00AA4523">
              <w:rPr>
                <w:rFonts w:asciiTheme="minorHAnsi" w:hAnsiTheme="minorHAnsi" w:cstheme="minorHAnsi"/>
                <w:szCs w:val="22"/>
              </w:rPr>
              <w:t>proxy</w:t>
            </w:r>
            <w:proofErr w:type="spellEnd"/>
            <w:r w:rsidRPr="00AA4523">
              <w:rPr>
                <w:rFonts w:asciiTheme="minorHAnsi" w:hAnsiTheme="minorHAnsi" w:cstheme="minorHAnsi"/>
                <w:szCs w:val="22"/>
              </w:rPr>
              <w:t xml:space="preserve"> musi pełnić funkcję pośrednika pomiędzy lokalizacjami zdalnymi a serwerem centralnym.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>Serwer administracyjny musi oferować możliwość instalacji modułu do zarządzania urządzeniami mobilnymi – MDM.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 xml:space="preserve">Serwer administracyjny musi oferować możliwość instalacji serwera http </w:t>
            </w:r>
            <w:proofErr w:type="spellStart"/>
            <w:r w:rsidRPr="00AA4523">
              <w:rPr>
                <w:rFonts w:asciiTheme="minorHAnsi" w:hAnsiTheme="minorHAnsi" w:cstheme="minorHAnsi"/>
                <w:szCs w:val="22"/>
              </w:rPr>
              <w:t>proxy</w:t>
            </w:r>
            <w:proofErr w:type="spellEnd"/>
            <w:r w:rsidRPr="00AA4523">
              <w:rPr>
                <w:rFonts w:asciiTheme="minorHAnsi" w:hAnsiTheme="minorHAnsi" w:cstheme="minorHAnsi"/>
                <w:szCs w:val="22"/>
              </w:rPr>
              <w:t xml:space="preserve"> pozwalającego na pobieranie aktualizacji baz sygnatur oraz pakietów instalacyjnych na stacjach roboczych bez dostępu do Internetu.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>Komunikacja pomiędzy poszczególnymi modułami serwera musi być zabezpieczona za pomocą certyfikatów.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>Serwer administracyjny musi oferować możliwość utworzenia własnego CA (</w:t>
            </w:r>
            <w:proofErr w:type="spellStart"/>
            <w:r w:rsidRPr="00AA4523">
              <w:rPr>
                <w:rFonts w:asciiTheme="minorHAnsi" w:hAnsiTheme="minorHAnsi" w:cstheme="minorHAnsi"/>
                <w:szCs w:val="22"/>
              </w:rPr>
              <w:t>Certification</w:t>
            </w:r>
            <w:proofErr w:type="spellEnd"/>
            <w:r w:rsidRPr="00AA4523">
              <w:rPr>
                <w:rFonts w:asciiTheme="minorHAnsi" w:hAnsiTheme="minorHAnsi" w:cstheme="minorHAnsi"/>
                <w:szCs w:val="22"/>
              </w:rPr>
              <w:t xml:space="preserve"> Authority) oraz dowolnej liczby certyfikatów z podziałem na typ elementu: agent, serwer zarządzający, serwer </w:t>
            </w:r>
            <w:proofErr w:type="spellStart"/>
            <w:r w:rsidRPr="00AA4523">
              <w:rPr>
                <w:rFonts w:asciiTheme="minorHAnsi" w:hAnsiTheme="minorHAnsi" w:cstheme="minorHAnsi"/>
                <w:szCs w:val="22"/>
              </w:rPr>
              <w:t>proxy</w:t>
            </w:r>
            <w:proofErr w:type="spellEnd"/>
            <w:r w:rsidRPr="00AA4523">
              <w:rPr>
                <w:rFonts w:asciiTheme="minorHAnsi" w:hAnsiTheme="minorHAnsi" w:cstheme="minorHAnsi"/>
                <w:szCs w:val="22"/>
              </w:rPr>
              <w:t>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lastRenderedPageBreak/>
              <w:t xml:space="preserve">Centralna konfiguracja i zarządzanie ochroną antywirusową, </w:t>
            </w:r>
            <w:proofErr w:type="spellStart"/>
            <w:r w:rsidRPr="00AA4523">
              <w:rPr>
                <w:rFonts w:asciiTheme="minorHAnsi" w:hAnsiTheme="minorHAnsi" w:cstheme="minorHAnsi"/>
                <w:szCs w:val="22"/>
              </w:rPr>
              <w:t>antyspyware’ową</w:t>
            </w:r>
            <w:proofErr w:type="spellEnd"/>
            <w:r w:rsidRPr="00AA4523">
              <w:rPr>
                <w:rFonts w:asciiTheme="minorHAnsi" w:hAnsiTheme="minorHAnsi" w:cstheme="minorHAnsi"/>
                <w:szCs w:val="22"/>
              </w:rPr>
              <w:t>, zaporą osobistą i kontrolą dostępu do stron internetowych zainstalowanymi na stacjach roboczych w sieci.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>Zarządzanie oprogramowaniem zabezpieczającym na stacjach roboczych musi odbywać się za pośrednictwem dedykowanego agenta.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>Agent musi posiadać możliwość pobrania listy zainstalowanego oprogramowania firm trzecich na stacji roboczej z możliwością jego odinstalowania.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>Serwer administracyjny musi oferować możliwość wymuszenia połączenia agenta do serwera administracyjnego z pominięciem domyślnego czasu oczekiwania na połączenie.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>Instalacja klienta na urządzeniach mobilnych musi być dostępna za pośrednictwem portalu WWW udostępnionego przez moduł MDM z poziomu urządzenia użytkownika.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>W przypadku braku zainstalowanego klienta na urządzeniu mobilnym musi istnieć możliwość jego pobrania ze sklepu Google Play.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>Administrator musi posiadać możliwość utworzenia listy zautoryzowanych urządzeń mobilnych, które mogą zostać podłączone do serwera centralnej administracji.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>Serwer administracyjny musi oferować możliwość zablokowania, odblokowania, wyczyszczenia zawartości, zlokalizowania oraz uruchomienia syreny na zarządzanym urządzaniu mobilnym. Funkcjonalność musi wykorzystywać połączenie internetowe, nie komunikację za pośrednictwem wiadomości SMS.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 xml:space="preserve">Administrator musi posiadać możliwość utworzenia </w:t>
            </w:r>
            <w:r w:rsidRPr="00AA4523">
              <w:rPr>
                <w:rFonts w:asciiTheme="minorHAnsi" w:hAnsiTheme="minorHAnsi" w:cstheme="minorHAnsi"/>
                <w:szCs w:val="22"/>
              </w:rPr>
              <w:lastRenderedPageBreak/>
              <w:t>dodatkowych użytkowników/administratorów Serwer centralnego zarządzania do zarządzania stacjami roboczymi.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>Administrator musi posiadać wymuszenia dwufazowej autoryzacji podczas logowania do konsoli zarządzającej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>Dwu fazowa autoryzacja musi się odbywać za pomocą wiadomości SMS lub haseł jednorazowych generowanych na urządzeniu mobilnym za pomocą dedykowanej aplikacji.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>Serwer administracyjny musi oferować możliwość utworzenia zestawów uprawnień dotyczących zarządzania poszczególnymi grupami komputerów, politykami, instalacją agenta, raportowania, zarządzania licencjami, zadaniami, itp.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>Administrator musi posiadać możliwość nadania dwóch typów uprawnień do każdej z funkcji przypisanej w zestawie uprawnień: tylko do odczytu, odczyt/zapis.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>Administrator musi posiadać możliwość przypisania kilku zestawów uprawnień do jednego użytkownika.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>Serwer administracyjny musi posiadać możliwość konfiguracji czasu bezczynności po jakim użytkownik zostanie automatycznie wylogowany.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>Agent musi posiadać mechanizm pozwalający na zapis zadania w swojej pamięci wewnętrznej w celu ich późniejszego wykonania bez względu na stan połączenia z serwerem centralnej administracji.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>Instalacja zdalna programu zabezpieczającego za pośrednictwem agenta musi odbywać się z repozytorium producenta lub z pakietu dostępnego w Internecie lub zasobie lokalnym.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 xml:space="preserve">Serwer administracyjny musi oferować możliwość </w:t>
            </w:r>
            <w:r w:rsidRPr="00AA4523">
              <w:rPr>
                <w:rFonts w:asciiTheme="minorHAnsi" w:hAnsiTheme="minorHAnsi" w:cstheme="minorHAnsi"/>
                <w:szCs w:val="22"/>
              </w:rPr>
              <w:lastRenderedPageBreak/>
              <w:t>deinstalacji programu zabezpieczającego firm trzecich lub jego niepełnej instalacji podczas instalacji nowego pakietu.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>Serwer administracyjny musi oferować możliwość wysłania komunikatu lub polecenia na stacje kliencką.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>Serwer administracyjny musi oferować możliwość utworzenia grup statycznych i dynamicznych komputerów.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>Grupy dynamiczne tworzone na podstawie szablonu określającego warunki jakie musi spełnić klient aby zostać umieszczony w danej grupie. Przykładowe warunki: Adresy sieciowe IP, Aktywne zagrożenia, Stan funkcjonowania/ochrony, Wersja systemu operacyjnego, itp.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>Serwer administracyjny musi oferować możliwość przypisania polityki dla pojedynczego klienta lub dla grupy komputerów. Serwer administracyjny musi oferować możliwość przypisania kilku polityk z innymi priorytetami dla jednego klienta.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>Edytor konfiguracji polityki musi być identyczny jak edytor konfiguracji ustawień zaawansowanych w programie zabezpieczającym na stacji roboczej.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>Serwer administracyjny musi oferować możliwość nadania priorytetu „Wymuś” dla konkretnej opcji w konfiguracji klienta. Opcja ta nie będzie mogła być zmieniona na stacji klienckiej bez względu na zabezpieczenie całej konfiguracji hasłem lub w przypadku jego braku.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 xml:space="preserve">Serwer administracyjny musi oferować możliwość utworzenia raportów zawierających dane zebrane przez agenta ze stacji roboczej i serwer centralnego </w:t>
            </w:r>
            <w:r w:rsidRPr="00AA4523">
              <w:rPr>
                <w:rFonts w:asciiTheme="minorHAnsi" w:hAnsiTheme="minorHAnsi" w:cstheme="minorHAnsi"/>
                <w:szCs w:val="22"/>
              </w:rPr>
              <w:lastRenderedPageBreak/>
              <w:t>zarządzania.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>Serwer administracyjny musi oferować możliwość wyboru formy przedstawienia danych w raporcie w postaci tabeli, wykresu lub obu elementów jednocześnie.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>Serwer administracyjny musi oferować możliwość wygenerowania raportu na żądanie, zgodnie z harmonogramem lub umieszczenie raportu na Panelu kontrolnym dostępnym z poziomu interfejsu konsoli WWW.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>Raport generowany okresowo może zostać wysłany za pośrednictwem wiadomości email lub zapisany do pliku w formacie PDF, CSV lub PS.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>Serwer administracyjny musi oferować możliwość maksymalizacji wybranego elementu monitorującego.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>Raport na panelu kontrolnym musi być w pełni interaktywny pozwalając przejść do zarządzania stacją/stacjami, której raport dotyczy.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>Administrator musi posiadać możliwość wysłania powiadomienia za pośrednictwem wiadomości email lub komunikatu SNMP.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>Serwer administracyjny musi oferować możliwość konfiguracji własnej treści komunikatu w powiadomieniu.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>Serwer administracyjny musi oferować możliwość podłączenia serwera administracji zdalnej do portalu zarządzania licencjami dostępnego na serwerze producenta.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>Serwer administracyjny musi oferować możliwość dodania licencji do serwera zarządzania na podstawie klucza licencyjnego lub pliku offline licencji.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lastRenderedPageBreak/>
              <w:t>Serwer administracyjny musi posiadać możliwość dodania dowolnej ilości licencji obejmujących różne produkty.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 xml:space="preserve">Serwer administracyjny musi być wyposażona w </w:t>
            </w:r>
            <w:r w:rsidRPr="00AF2B53">
              <w:rPr>
                <w:rFonts w:asciiTheme="minorHAnsi" w:hAnsiTheme="minorHAnsi" w:cstheme="minorHAnsi"/>
                <w:szCs w:val="22"/>
              </w:rPr>
              <w:t>m</w:t>
            </w:r>
            <w:r>
              <w:rPr>
                <w:rFonts w:asciiTheme="minorHAnsi" w:hAnsiTheme="minorHAnsi" w:cstheme="minorHAnsi"/>
                <w:szCs w:val="22"/>
              </w:rPr>
              <w:t>e</w:t>
            </w:r>
            <w:r w:rsidRPr="00AF2B53">
              <w:rPr>
                <w:rFonts w:asciiTheme="minorHAnsi" w:hAnsiTheme="minorHAnsi" w:cstheme="minorHAnsi"/>
                <w:szCs w:val="22"/>
              </w:rPr>
              <w:t>ch</w:t>
            </w:r>
            <w:r>
              <w:rPr>
                <w:rFonts w:asciiTheme="minorHAnsi" w:hAnsiTheme="minorHAnsi" w:cstheme="minorHAnsi"/>
                <w:szCs w:val="22"/>
              </w:rPr>
              <w:t>an</w:t>
            </w:r>
            <w:r w:rsidRPr="00AF2B53">
              <w:rPr>
                <w:rFonts w:asciiTheme="minorHAnsi" w:hAnsiTheme="minorHAnsi" w:cstheme="minorHAnsi"/>
                <w:szCs w:val="22"/>
              </w:rPr>
              <w:t>izm</w:t>
            </w:r>
            <w:r w:rsidRPr="00AA4523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AA4523">
              <w:rPr>
                <w:rFonts w:asciiTheme="minorHAnsi" w:hAnsiTheme="minorHAnsi" w:cstheme="minorHAnsi"/>
                <w:szCs w:val="22"/>
              </w:rPr>
              <w:t>autodopasowania</w:t>
            </w:r>
            <w:proofErr w:type="spellEnd"/>
            <w:r w:rsidRPr="00AA4523">
              <w:rPr>
                <w:rFonts w:asciiTheme="minorHAnsi" w:hAnsiTheme="minorHAnsi" w:cstheme="minorHAnsi"/>
                <w:szCs w:val="22"/>
              </w:rPr>
              <w:t xml:space="preserve"> kolumn w zależności od rozdzielczości urządzenia na jakim jest wyświetlana.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>Serwer administracji musi umożliwić granulację uprawnień dla Administratorów w taki sposób, aby każdemu z nich możliwe było przyznanie oddzielnych uprawnień do poszczególnych grup komputerów, polityk lub zadań.</w:t>
            </w:r>
          </w:p>
          <w:p w:rsidR="008477A0" w:rsidRPr="00AA4523" w:rsidRDefault="008477A0" w:rsidP="00BA5A47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autoSpaceDN/>
              <w:spacing w:before="0"/>
              <w:jc w:val="left"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AA4523">
              <w:rPr>
                <w:rFonts w:asciiTheme="minorHAnsi" w:hAnsiTheme="minorHAnsi" w:cstheme="minorHAnsi"/>
                <w:szCs w:val="22"/>
              </w:rPr>
              <w:t xml:space="preserve">Serwer musi wspierać wysyłanie logów do systemu SIEM IBM </w:t>
            </w:r>
            <w:proofErr w:type="spellStart"/>
            <w:r w:rsidRPr="00AA4523">
              <w:rPr>
                <w:rFonts w:asciiTheme="minorHAnsi" w:hAnsiTheme="minorHAnsi" w:cstheme="minorHAnsi"/>
                <w:szCs w:val="22"/>
              </w:rPr>
              <w:t>qRadar</w:t>
            </w:r>
            <w:proofErr w:type="spellEnd"/>
          </w:p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ind w:left="36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8477A0" w:rsidRPr="00AA4523" w:rsidTr="008477A0">
        <w:trPr>
          <w:trHeight w:val="395"/>
        </w:trPr>
        <w:tc>
          <w:tcPr>
            <w:tcW w:w="193" w:type="pct"/>
          </w:tcPr>
          <w:p w:rsidR="008477A0" w:rsidRPr="00AA4523" w:rsidRDefault="008477A0" w:rsidP="0031672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56" w:type="pct"/>
            <w:vAlign w:val="center"/>
          </w:tcPr>
          <w:p w:rsidR="008477A0" w:rsidRPr="00AA4523" w:rsidRDefault="008477A0" w:rsidP="0031672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AA4523">
              <w:rPr>
                <w:rFonts w:asciiTheme="minorHAnsi" w:hAnsiTheme="minorHAnsi"/>
                <w:b/>
                <w:sz w:val="22"/>
                <w:szCs w:val="22"/>
              </w:rPr>
              <w:t>suma</w:t>
            </w:r>
          </w:p>
        </w:tc>
        <w:tc>
          <w:tcPr>
            <w:tcW w:w="545" w:type="pct"/>
            <w:vAlign w:val="center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b/>
                <w:color w:val="auto"/>
                <w:szCs w:val="22"/>
              </w:rPr>
            </w:pPr>
          </w:p>
        </w:tc>
        <w:tc>
          <w:tcPr>
            <w:tcW w:w="2105" w:type="pct"/>
          </w:tcPr>
          <w:p w:rsidR="008477A0" w:rsidRPr="00AA4523" w:rsidRDefault="008477A0" w:rsidP="00316724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b/>
                <w:color w:val="auto"/>
                <w:szCs w:val="22"/>
              </w:rPr>
            </w:pPr>
          </w:p>
        </w:tc>
      </w:tr>
    </w:tbl>
    <w:p w:rsidR="00437F42" w:rsidRDefault="00437F42">
      <w:pPr>
        <w:rPr>
          <w:rFonts w:asciiTheme="minorHAnsi" w:hAnsiTheme="minorHAnsi"/>
          <w:sz w:val="22"/>
        </w:rPr>
      </w:pPr>
    </w:p>
    <w:p w:rsidR="00240300" w:rsidRDefault="00240300">
      <w:pPr>
        <w:rPr>
          <w:rFonts w:asciiTheme="minorHAnsi" w:hAnsiTheme="minorHAnsi"/>
          <w:sz w:val="22"/>
        </w:rPr>
      </w:pPr>
      <w:r w:rsidRPr="00CE3822">
        <w:rPr>
          <w:rFonts w:asciiTheme="minorHAnsi" w:hAnsiTheme="minorHAnsi"/>
          <w:sz w:val="22"/>
        </w:rPr>
        <w:t>Wyposażenie będzie zamontowane w sali nr 108 i 127, I piętro szkoły.</w:t>
      </w:r>
    </w:p>
    <w:p w:rsidR="008E6E02" w:rsidRDefault="008E6E02" w:rsidP="008E6E02">
      <w:pPr>
        <w:rPr>
          <w:b/>
          <w:i/>
          <w:u w:val="single"/>
        </w:rPr>
      </w:pPr>
    </w:p>
    <w:p w:rsidR="001A2B77" w:rsidRDefault="008477A0" w:rsidP="001A2B77">
      <w:pPr>
        <w:rPr>
          <w:b/>
          <w:i/>
          <w:u w:val="single"/>
        </w:rPr>
      </w:pPr>
      <w:r>
        <w:rPr>
          <w:b/>
          <w:i/>
          <w:u w:val="single"/>
        </w:rPr>
        <w:t>W</w:t>
      </w:r>
      <w:r w:rsidR="001A2B77" w:rsidRPr="00DA635D">
        <w:rPr>
          <w:b/>
          <w:i/>
          <w:u w:val="single"/>
        </w:rPr>
        <w:t xml:space="preserve">arunki równoważności pakietu biurowego </w:t>
      </w:r>
      <w:r w:rsidR="001A2B77">
        <w:rPr>
          <w:b/>
          <w:i/>
          <w:u w:val="single"/>
        </w:rPr>
        <w:t xml:space="preserve">Microsoft </w:t>
      </w:r>
      <w:r w:rsidR="001A2B77" w:rsidRPr="00DA635D">
        <w:rPr>
          <w:b/>
          <w:i/>
          <w:u w:val="single"/>
        </w:rPr>
        <w:t>Office</w:t>
      </w:r>
      <w:r w:rsidR="001A2B77">
        <w:rPr>
          <w:b/>
          <w:i/>
          <w:u w:val="single"/>
        </w:rPr>
        <w:t xml:space="preserve"> 2016 PL</w:t>
      </w:r>
      <w:r w:rsidR="001A2B77" w:rsidRPr="00DA635D">
        <w:rPr>
          <w:b/>
          <w:i/>
          <w:u w:val="single"/>
        </w:rPr>
        <w:t>:</w:t>
      </w:r>
    </w:p>
    <w:p w:rsidR="001A2B77" w:rsidRPr="00DA635D" w:rsidRDefault="001A2B77" w:rsidP="001A2B77">
      <w:pPr>
        <w:rPr>
          <w:b/>
          <w:i/>
          <w:u w:val="single"/>
        </w:rPr>
      </w:pPr>
    </w:p>
    <w:p w:rsidR="003F4AF8" w:rsidRDefault="001A2B77" w:rsidP="001A2B77">
      <w:pPr>
        <w:spacing w:after="0"/>
      </w:pPr>
      <w:r>
        <w:t>P</w:t>
      </w:r>
      <w:r w:rsidRPr="0093196C">
        <w:t>akiet biurowy (zawierający co najmniej: edytor tekstu, arkusz kalkulacyjny, program do tworzenia prezentacji multimedialnych, program do obsługi pocz</w:t>
      </w:r>
      <w:r w:rsidR="003F4AF8">
        <w:t xml:space="preserve">ty elektronicznej i kalendarza). </w:t>
      </w:r>
    </w:p>
    <w:p w:rsidR="001A2B77" w:rsidRPr="0093196C" w:rsidRDefault="001A2B77" w:rsidP="001A2B77">
      <w:pPr>
        <w:spacing w:after="0"/>
      </w:pPr>
      <w:r w:rsidRPr="0093196C">
        <w:t>1.</w:t>
      </w:r>
      <w:r w:rsidRPr="0093196C">
        <w:tab/>
        <w:t>Oprogramowanie równoważne do oprogramowania, o którym mowa powyżej, musi spełniać następujące wymagania minimalne:</w:t>
      </w:r>
    </w:p>
    <w:p w:rsidR="001A2B77" w:rsidRPr="0093196C" w:rsidRDefault="001A2B77" w:rsidP="001A2B77">
      <w:pPr>
        <w:spacing w:after="0"/>
      </w:pPr>
      <w:r w:rsidRPr="0093196C">
        <w:t>a)</w:t>
      </w:r>
      <w:r w:rsidRPr="0093196C">
        <w:tab/>
        <w:t>wymagania odnośnie interfejsu użytkownika:</w:t>
      </w:r>
    </w:p>
    <w:p w:rsidR="001A2B77" w:rsidRPr="0093196C" w:rsidRDefault="001A2B77" w:rsidP="001A2B77">
      <w:pPr>
        <w:spacing w:after="0"/>
      </w:pPr>
      <w:r>
        <w:t>-</w:t>
      </w:r>
      <w:r w:rsidRPr="0093196C">
        <w:tab/>
        <w:t>pełna polska wersja językowa interfejsu użytkownika z możliwością przełączania wersji językowej interfejsu na język angielski;</w:t>
      </w:r>
    </w:p>
    <w:p w:rsidR="001A2B77" w:rsidRPr="0093196C" w:rsidRDefault="001A2B77" w:rsidP="001A2B77">
      <w:pPr>
        <w:spacing w:after="0"/>
      </w:pPr>
      <w:r>
        <w:t>-</w:t>
      </w:r>
      <w:r w:rsidRPr="0093196C">
        <w:tab/>
        <w:t xml:space="preserve">możliwość zintegrowania uwierzytelniania użytkowników z usługą katalogową (Active Directory); </w:t>
      </w:r>
    </w:p>
    <w:p w:rsidR="001A2B77" w:rsidRPr="0093196C" w:rsidRDefault="001A2B77" w:rsidP="001A2B77">
      <w:pPr>
        <w:spacing w:after="0"/>
      </w:pPr>
      <w:r>
        <w:lastRenderedPageBreak/>
        <w:t>-</w:t>
      </w:r>
      <w:r w:rsidRPr="0093196C">
        <w:tab/>
        <w:t>użytkownik raz zalogowany z poziomu systemu operacyjnego stacji roboczej ma być automatycznie rozpoznawany we wszystkich modułach oferowanego rozwiązania bez potrzeby oddzielnego monitowania go o ponowne uwierzytelnienie się;</w:t>
      </w:r>
    </w:p>
    <w:p w:rsidR="001A2B77" w:rsidRPr="0093196C" w:rsidRDefault="001A2B77" w:rsidP="001A2B77">
      <w:pPr>
        <w:spacing w:after="0"/>
      </w:pPr>
      <w:r>
        <w:t>b</w:t>
      </w:r>
      <w:r w:rsidRPr="0093196C">
        <w:t>)</w:t>
      </w:r>
      <w:r w:rsidRPr="0093196C">
        <w:tab/>
        <w:t>możliwość automatycznej instalacji komponentów (przy użyciu instalatora systemowego);</w:t>
      </w:r>
    </w:p>
    <w:p w:rsidR="001A2B77" w:rsidRPr="0093196C" w:rsidRDefault="001A2B77" w:rsidP="001A2B77">
      <w:pPr>
        <w:spacing w:after="0"/>
      </w:pPr>
      <w:r>
        <w:t>c</w:t>
      </w:r>
      <w:r w:rsidRPr="0093196C">
        <w:t>)</w:t>
      </w:r>
      <w:r w:rsidRPr="0093196C">
        <w:tab/>
        <w:t>możliwość zdalnej instalacji pakietu poprzez zasady grup (GPO);</w:t>
      </w:r>
    </w:p>
    <w:p w:rsidR="001A2B77" w:rsidRPr="0093196C" w:rsidRDefault="001A2B77" w:rsidP="001A2B77">
      <w:pPr>
        <w:spacing w:after="0"/>
      </w:pPr>
      <w:r>
        <w:t>d</w:t>
      </w:r>
      <w:r w:rsidRPr="0093196C">
        <w:t>)</w:t>
      </w:r>
      <w:r w:rsidRPr="0093196C">
        <w:tab/>
        <w:t>całkowicie zlokalizowany w języku polskim system komunikatów i podręcznej</w:t>
      </w:r>
      <w:r>
        <w:t xml:space="preserve"> pomocy technicznej w pakiecie;</w:t>
      </w:r>
    </w:p>
    <w:p w:rsidR="001A2B77" w:rsidRPr="0093196C" w:rsidRDefault="001A2B77" w:rsidP="001A2B77">
      <w:pPr>
        <w:spacing w:after="0"/>
      </w:pPr>
      <w:r>
        <w:t>f</w:t>
      </w:r>
      <w:r w:rsidRPr="0093196C">
        <w:t>)</w:t>
      </w:r>
      <w:r w:rsidRPr="0093196C">
        <w:tab/>
        <w:t>wsparcie dla formatu XML;</w:t>
      </w:r>
    </w:p>
    <w:p w:rsidR="001A2B77" w:rsidRPr="00A368F6" w:rsidRDefault="001A2B77" w:rsidP="001A2B77">
      <w:pPr>
        <w:spacing w:after="0"/>
      </w:pPr>
      <w:r>
        <w:t>g</w:t>
      </w:r>
      <w:r w:rsidRPr="0093196C">
        <w:t>)</w:t>
      </w:r>
      <w:r w:rsidRPr="0093196C">
        <w:tab/>
        <w:t xml:space="preserve"> </w:t>
      </w:r>
      <w:r w:rsidRPr="00A368F6">
        <w:t>możliwość nadawania uprawnień do modyfikacji dokumentów tworzonych za pomocą aplikacji wchodzących w skład pakietu;</w:t>
      </w:r>
    </w:p>
    <w:p w:rsidR="001A2B77" w:rsidRPr="00A368F6" w:rsidRDefault="001A2B77" w:rsidP="001A2B77">
      <w:pPr>
        <w:spacing w:after="0"/>
      </w:pPr>
      <w:r w:rsidRPr="00A368F6">
        <w:t>h)</w:t>
      </w:r>
      <w:r w:rsidRPr="00A368F6">
        <w:tab/>
        <w:t xml:space="preserve">automatyczne wypisywanie </w:t>
      </w:r>
      <w:proofErr w:type="spellStart"/>
      <w:r w:rsidRPr="00A368F6">
        <w:t>hiperłącz</w:t>
      </w:r>
      <w:proofErr w:type="spellEnd"/>
      <w:r w:rsidRPr="00A368F6">
        <w:t>;</w:t>
      </w:r>
    </w:p>
    <w:p w:rsidR="001A2B77" w:rsidRPr="00A368F6" w:rsidRDefault="001A2B77" w:rsidP="001A2B77">
      <w:pPr>
        <w:spacing w:after="0"/>
      </w:pPr>
      <w:r w:rsidRPr="00A368F6">
        <w:t>i)</w:t>
      </w:r>
      <w:r w:rsidRPr="00A368F6">
        <w:tab/>
        <w:t>możliwość automatycznego odświeżania danych pochodzących z Internetu w arkuszach kalkulacyjnych;</w:t>
      </w:r>
    </w:p>
    <w:p w:rsidR="001A2B77" w:rsidRPr="00A368F6" w:rsidRDefault="001A2B77" w:rsidP="001A2B77">
      <w:pPr>
        <w:spacing w:after="0"/>
      </w:pPr>
      <w:r w:rsidRPr="00A368F6">
        <w:t>j)</w:t>
      </w:r>
      <w:r w:rsidRPr="00A368F6">
        <w:tab/>
        <w:t>możliwość dodawania do dokumentów i arkuszy kalkulacyjnych podpisów cyfrowych, pozwalających na stwierdzenie czy dany dokument/arkusz pochodzi z bezpiecznego źródła i nie został w żaden sposób zmieniony;</w:t>
      </w:r>
    </w:p>
    <w:p w:rsidR="001A2B77" w:rsidRPr="00A368F6" w:rsidRDefault="001A2B77" w:rsidP="001A2B77">
      <w:pPr>
        <w:spacing w:after="0"/>
      </w:pPr>
      <w:r w:rsidRPr="00A368F6">
        <w:t>k)</w:t>
      </w:r>
      <w:r w:rsidRPr="00A368F6">
        <w:tab/>
        <w:t>możliwość automatycznego odzyskiwania dokumentów i arkuszy kalkulacyjnych: w wypadku nieoczekiwanego zamknięcia aplikacji spowodowanego zanikiem prądu;</w:t>
      </w:r>
    </w:p>
    <w:p w:rsidR="001A2B77" w:rsidRPr="00A368F6" w:rsidRDefault="001A2B77" w:rsidP="001A2B77">
      <w:pPr>
        <w:spacing w:after="0"/>
      </w:pPr>
      <w:r w:rsidRPr="00A368F6">
        <w:t>l)</w:t>
      </w:r>
      <w:r w:rsidRPr="00A368F6">
        <w:tab/>
        <w:t>prawidłowe odczytywanie i zapisywanie danych w dokumentach w formatach: .DOC, .DOCX, XLS, .XLSX, .PPT, .PPTX, w tym obsługa formatowania, makr, formuł, formularzy w plikach wytworzonych w MS Office 2003, MS Office 2007, MS Office 2010, MS Office 2013 i MS Office 2016;</w:t>
      </w:r>
    </w:p>
    <w:p w:rsidR="001A2B77" w:rsidRPr="00A368F6" w:rsidRDefault="001A2B77" w:rsidP="001A2B77">
      <w:pPr>
        <w:spacing w:after="0"/>
      </w:pPr>
      <w:r>
        <w:t>m</w:t>
      </w:r>
      <w:r w:rsidRPr="00A368F6">
        <w:t>)</w:t>
      </w:r>
      <w:r w:rsidRPr="00A368F6">
        <w:tab/>
        <w:t xml:space="preserve">zawiera narzędzia programistyczne umożliwiające automatyzację pracy i wymianę danych pomiędzy dokumentami i aplikacjami (język makropoleceń, język skryptowy); </w:t>
      </w:r>
    </w:p>
    <w:p w:rsidR="001A2B77" w:rsidRPr="00A368F6" w:rsidRDefault="001A2B77" w:rsidP="001A2B77">
      <w:pPr>
        <w:spacing w:after="0"/>
      </w:pPr>
      <w:r>
        <w:t>n</w:t>
      </w:r>
      <w:r w:rsidRPr="00A368F6">
        <w:t>)</w:t>
      </w:r>
      <w:r w:rsidRPr="00A368F6">
        <w:tab/>
        <w:t>umożliwia tworzenie drukowanych materiałów informacyjnych poprzez:</w:t>
      </w:r>
    </w:p>
    <w:p w:rsidR="001A2B77" w:rsidRPr="00A368F6" w:rsidRDefault="001A2B77" w:rsidP="001A2B77">
      <w:pPr>
        <w:spacing w:after="0"/>
      </w:pPr>
      <w:r w:rsidRPr="00A368F6">
        <w:t>-</w:t>
      </w:r>
      <w:r w:rsidRPr="00A368F6">
        <w:tab/>
        <w:t>tworzenie i edycję drukowanych materiałów informacyjnych;</w:t>
      </w:r>
    </w:p>
    <w:p w:rsidR="001A2B77" w:rsidRPr="00A368F6" w:rsidRDefault="001A2B77" w:rsidP="001A2B77">
      <w:pPr>
        <w:spacing w:after="0"/>
      </w:pPr>
      <w:r w:rsidRPr="00A368F6">
        <w:t>-</w:t>
      </w:r>
      <w:r w:rsidRPr="00A368F6">
        <w:tab/>
        <w:t>tworzenie materiałów przy użyciu dostępnych z narzędziem szablonów: broszur, biuletynów, katalogów;</w:t>
      </w:r>
    </w:p>
    <w:p w:rsidR="001A2B77" w:rsidRPr="00A368F6" w:rsidRDefault="001A2B77" w:rsidP="001A2B77">
      <w:pPr>
        <w:spacing w:after="0"/>
      </w:pPr>
      <w:r w:rsidRPr="00A368F6">
        <w:t>-</w:t>
      </w:r>
      <w:r w:rsidRPr="00A368F6">
        <w:tab/>
        <w:t>edycję poszczególnych stron materiałów;</w:t>
      </w:r>
    </w:p>
    <w:p w:rsidR="001A2B77" w:rsidRPr="00A368F6" w:rsidRDefault="001A2B77" w:rsidP="001A2B77">
      <w:pPr>
        <w:spacing w:after="0"/>
      </w:pPr>
      <w:r w:rsidRPr="00A368F6">
        <w:t>-</w:t>
      </w:r>
      <w:r w:rsidRPr="00A368F6">
        <w:tab/>
        <w:t>podział treści na kolumny;</w:t>
      </w:r>
    </w:p>
    <w:p w:rsidR="001A2B77" w:rsidRPr="00A368F6" w:rsidRDefault="001A2B77" w:rsidP="001A2B77">
      <w:pPr>
        <w:spacing w:after="0"/>
      </w:pPr>
      <w:r w:rsidRPr="00A368F6">
        <w:t>-</w:t>
      </w:r>
      <w:r w:rsidRPr="00A368F6">
        <w:tab/>
        <w:t>umieszczanie elementów graficznych;</w:t>
      </w:r>
    </w:p>
    <w:p w:rsidR="001A2B77" w:rsidRPr="00A368F6" w:rsidRDefault="001A2B77" w:rsidP="001A2B77">
      <w:pPr>
        <w:spacing w:after="0"/>
      </w:pPr>
      <w:r w:rsidRPr="00A368F6">
        <w:t>-</w:t>
      </w:r>
      <w:r w:rsidRPr="00A368F6">
        <w:tab/>
        <w:t>wykorzystanie mechanizmu korespondencji seryjnej;</w:t>
      </w:r>
    </w:p>
    <w:p w:rsidR="001A2B77" w:rsidRPr="00A368F6" w:rsidRDefault="001A2B77" w:rsidP="001A2B77">
      <w:pPr>
        <w:spacing w:after="0"/>
      </w:pPr>
      <w:r w:rsidRPr="00A368F6">
        <w:t>-</w:t>
      </w:r>
      <w:r w:rsidRPr="00A368F6">
        <w:tab/>
        <w:t>płynne przesuwanie elementów po całej stronie publikacji;</w:t>
      </w:r>
    </w:p>
    <w:p w:rsidR="001A2B77" w:rsidRPr="00A368F6" w:rsidRDefault="001A2B77" w:rsidP="001A2B77">
      <w:pPr>
        <w:spacing w:after="0"/>
      </w:pPr>
      <w:r w:rsidRPr="00A368F6">
        <w:t>-</w:t>
      </w:r>
      <w:r w:rsidRPr="00A368F6">
        <w:tab/>
        <w:t>eksport publikacji do formatu PDF oraz TIFF;</w:t>
      </w:r>
    </w:p>
    <w:p w:rsidR="001A2B77" w:rsidRPr="00A368F6" w:rsidRDefault="001A2B77" w:rsidP="001A2B77">
      <w:pPr>
        <w:spacing w:after="0"/>
      </w:pPr>
      <w:r w:rsidRPr="00A368F6">
        <w:t>-</w:t>
      </w:r>
      <w:r w:rsidRPr="00A368F6">
        <w:tab/>
        <w:t>wydruk publikacji;</w:t>
      </w:r>
    </w:p>
    <w:p w:rsidR="001A2B77" w:rsidRPr="00A368F6" w:rsidRDefault="001A2B77" w:rsidP="001A2B77">
      <w:pPr>
        <w:spacing w:after="0"/>
      </w:pPr>
      <w:r w:rsidRPr="00A368F6">
        <w:lastRenderedPageBreak/>
        <w:t>-</w:t>
      </w:r>
      <w:r w:rsidRPr="00A368F6">
        <w:tab/>
        <w:t>możliwość przygotowywania materiałów do wydruku w standardzie CMYK.</w:t>
      </w:r>
    </w:p>
    <w:p w:rsidR="001A2B77" w:rsidRPr="00A368F6" w:rsidRDefault="001A2B77" w:rsidP="001A2B77">
      <w:pPr>
        <w:spacing w:after="0"/>
      </w:pPr>
      <w:r>
        <w:t>o</w:t>
      </w:r>
      <w:r w:rsidRPr="00A368F6">
        <w:t>)</w:t>
      </w:r>
      <w:r w:rsidRPr="00A368F6">
        <w:tab/>
        <w:t>edytor tekstów musi umożliwiać:</w:t>
      </w:r>
    </w:p>
    <w:p w:rsidR="001A2B77" w:rsidRPr="00A368F6" w:rsidRDefault="001A2B77" w:rsidP="001A2B77">
      <w:pPr>
        <w:spacing w:after="0"/>
      </w:pPr>
      <w:r w:rsidRPr="00A368F6">
        <w:t>-</w:t>
      </w:r>
      <w:r w:rsidRPr="00A368F6">
        <w:tab/>
        <w:t>edycję i formatowanie tekstu w języku polskim wraz z obsługą języka polskiego w zakresie sprawdzania pisowni i poprawności gramatycznej oraz funkcjonalnością słownika wyrazów bliskoznacznych i autokorekty;</w:t>
      </w:r>
    </w:p>
    <w:p w:rsidR="001A2B77" w:rsidRPr="00A368F6" w:rsidRDefault="001A2B77" w:rsidP="001A2B77">
      <w:pPr>
        <w:spacing w:after="0"/>
      </w:pPr>
      <w:r w:rsidRPr="00A368F6">
        <w:t>-</w:t>
      </w:r>
      <w:r w:rsidRPr="00A368F6">
        <w:tab/>
        <w:t>wstawianie oraz formatowanie tabel;</w:t>
      </w:r>
    </w:p>
    <w:p w:rsidR="001A2B77" w:rsidRPr="00A368F6" w:rsidRDefault="001A2B77" w:rsidP="001A2B77">
      <w:pPr>
        <w:spacing w:after="0"/>
      </w:pPr>
      <w:r w:rsidRPr="00A368F6">
        <w:t>-</w:t>
      </w:r>
      <w:r w:rsidRPr="00A368F6">
        <w:tab/>
        <w:t>wstawianie oraz formatowanie obiektów graficznych;</w:t>
      </w:r>
    </w:p>
    <w:p w:rsidR="001A2B77" w:rsidRPr="00A368F6" w:rsidRDefault="001A2B77" w:rsidP="001A2B77">
      <w:pPr>
        <w:spacing w:after="0"/>
      </w:pPr>
      <w:r w:rsidRPr="00A368F6">
        <w:t>-</w:t>
      </w:r>
      <w:r w:rsidRPr="00A368F6">
        <w:tab/>
        <w:t>wstawianie wykresów i tabel z arkusza kalkulacyjnego (wliczając tabele przestawne);</w:t>
      </w:r>
    </w:p>
    <w:p w:rsidR="001A2B77" w:rsidRPr="00A368F6" w:rsidRDefault="001A2B77" w:rsidP="001A2B77">
      <w:pPr>
        <w:spacing w:after="0"/>
      </w:pPr>
      <w:r w:rsidRPr="00A368F6">
        <w:t>-</w:t>
      </w:r>
      <w:r w:rsidRPr="00A368F6">
        <w:tab/>
        <w:t>automatyczne numerowanie rozdziałów, punktów, akapitów, tabel i rysunków;</w:t>
      </w:r>
    </w:p>
    <w:p w:rsidR="001A2B77" w:rsidRPr="00A368F6" w:rsidRDefault="001A2B77" w:rsidP="001A2B77">
      <w:pPr>
        <w:spacing w:after="0"/>
      </w:pPr>
      <w:r w:rsidRPr="00A368F6">
        <w:t>-</w:t>
      </w:r>
      <w:r w:rsidRPr="00A368F6">
        <w:tab/>
        <w:t>automatyczne tworzenie spisów treści;</w:t>
      </w:r>
    </w:p>
    <w:p w:rsidR="001A2B77" w:rsidRPr="00A368F6" w:rsidRDefault="001A2B77" w:rsidP="001A2B77">
      <w:pPr>
        <w:spacing w:after="0"/>
      </w:pPr>
      <w:r w:rsidRPr="00A368F6">
        <w:t>-</w:t>
      </w:r>
      <w:r w:rsidRPr="00A368F6">
        <w:tab/>
        <w:t>formatowanie nagłówków i stopek stron;</w:t>
      </w:r>
    </w:p>
    <w:p w:rsidR="001A2B77" w:rsidRPr="00A368F6" w:rsidRDefault="001A2B77" w:rsidP="001A2B77">
      <w:pPr>
        <w:spacing w:after="0"/>
      </w:pPr>
      <w:r w:rsidRPr="00A368F6">
        <w:t>-</w:t>
      </w:r>
      <w:r w:rsidRPr="00A368F6">
        <w:tab/>
        <w:t>śledzenie zmian wprowadzonych przez użytkowników;</w:t>
      </w:r>
    </w:p>
    <w:p w:rsidR="001A2B77" w:rsidRPr="00A368F6" w:rsidRDefault="001A2B77" w:rsidP="001A2B77">
      <w:pPr>
        <w:spacing w:after="0"/>
      </w:pPr>
      <w:r w:rsidRPr="00A368F6">
        <w:t>-</w:t>
      </w:r>
      <w:r w:rsidRPr="00A368F6">
        <w:tab/>
        <w:t>nagrywanie, tworzenie i edycję makr automatyzujących wykonywanie czynności;</w:t>
      </w:r>
    </w:p>
    <w:p w:rsidR="001A2B77" w:rsidRPr="00A368F6" w:rsidRDefault="001A2B77" w:rsidP="001A2B77">
      <w:pPr>
        <w:spacing w:after="0"/>
      </w:pPr>
      <w:r w:rsidRPr="00A368F6">
        <w:t>-</w:t>
      </w:r>
      <w:r w:rsidRPr="00A368F6">
        <w:tab/>
        <w:t>określenie układu strony (pionowa/pozioma);</w:t>
      </w:r>
    </w:p>
    <w:p w:rsidR="001A2B77" w:rsidRPr="00A368F6" w:rsidRDefault="001A2B77" w:rsidP="001A2B77">
      <w:pPr>
        <w:spacing w:after="0"/>
      </w:pPr>
      <w:r w:rsidRPr="00A368F6">
        <w:t>-</w:t>
      </w:r>
      <w:r w:rsidRPr="00A368F6">
        <w:tab/>
        <w:t>wydruk dokumentów;</w:t>
      </w:r>
    </w:p>
    <w:p w:rsidR="001A2B77" w:rsidRPr="00A368F6" w:rsidRDefault="001A2B77" w:rsidP="001A2B77">
      <w:pPr>
        <w:spacing w:after="0"/>
      </w:pPr>
      <w:r w:rsidRPr="00A368F6">
        <w:t>-</w:t>
      </w:r>
      <w:r w:rsidRPr="00A368F6">
        <w:tab/>
        <w:t>wykonywanie korespondencji seryjnej bazując na danych adresowych pochodzących z arkusza kalkulacyjnego i z narzędzia do zarządzania informacją prywatną;</w:t>
      </w:r>
    </w:p>
    <w:p w:rsidR="001A2B77" w:rsidRPr="00A368F6" w:rsidRDefault="001A2B77" w:rsidP="001A2B77">
      <w:pPr>
        <w:spacing w:after="0"/>
      </w:pPr>
      <w:r w:rsidRPr="00A368F6">
        <w:t>-</w:t>
      </w:r>
      <w:r w:rsidRPr="00A368F6">
        <w:tab/>
        <w:t>pracę na dokumentach utworzonych przy pomocy Microsoft Word 2003 lub Microsoft Word 2007, 2010, 2013 i 2016 z zapewnieniem bezproblemowej konwersji wszystkich elementów i atrybutów dokumentu;</w:t>
      </w:r>
    </w:p>
    <w:p w:rsidR="001A2B77" w:rsidRPr="00A368F6" w:rsidRDefault="001A2B77" w:rsidP="001A2B77">
      <w:pPr>
        <w:spacing w:after="0"/>
      </w:pPr>
      <w:r w:rsidRPr="00A368F6">
        <w:t>-</w:t>
      </w:r>
      <w:r w:rsidRPr="00A368F6">
        <w:tab/>
        <w:t>zabezpieczenie dokumentów hasłem przed odczytem oraz przed wprowadzaniem modyfikacji;</w:t>
      </w:r>
    </w:p>
    <w:p w:rsidR="001A2B77" w:rsidRPr="00A368F6" w:rsidRDefault="001A2B77" w:rsidP="001A2B77">
      <w:pPr>
        <w:spacing w:after="0"/>
      </w:pPr>
      <w:r>
        <w:t>p</w:t>
      </w:r>
      <w:r w:rsidRPr="00A368F6">
        <w:t>)</w:t>
      </w:r>
      <w:r w:rsidRPr="00A368F6">
        <w:tab/>
        <w:t>arkusz kalkulacyjny musi umożliwiać:</w:t>
      </w:r>
    </w:p>
    <w:p w:rsidR="001A2B77" w:rsidRPr="00A368F6" w:rsidRDefault="001A2B77" w:rsidP="001A2B77">
      <w:pPr>
        <w:spacing w:after="0"/>
      </w:pPr>
      <w:r w:rsidRPr="00A368F6">
        <w:t>-</w:t>
      </w:r>
      <w:r w:rsidRPr="00A368F6">
        <w:tab/>
        <w:t>tworzenie raportów tabelarycznych;</w:t>
      </w:r>
    </w:p>
    <w:p w:rsidR="001A2B77" w:rsidRPr="00A368F6" w:rsidRDefault="001A2B77" w:rsidP="001A2B77">
      <w:pPr>
        <w:spacing w:after="0"/>
      </w:pPr>
      <w:r w:rsidRPr="00A368F6">
        <w:t>-</w:t>
      </w:r>
      <w:r w:rsidRPr="00A368F6">
        <w:tab/>
        <w:t>tworzenie wykresów liniowych (wraz z linią trendu), słupkowych, kołowych;</w:t>
      </w:r>
    </w:p>
    <w:p w:rsidR="001A2B77" w:rsidRPr="00A368F6" w:rsidRDefault="001A2B77" w:rsidP="001A2B77">
      <w:pPr>
        <w:spacing w:after="0"/>
      </w:pPr>
      <w:r w:rsidRPr="00A368F6">
        <w:t>-</w:t>
      </w:r>
      <w:r w:rsidRPr="00A368F6">
        <w:tab/>
        <w:t>tworzenie arkuszy kalkulacyjnych zawierających teksty, dane liczbowe oraz formuły przeprowadzające operacje matematyczne, logiczne, tekstowe, statystyczne oraz operacje na danych finansowych i na miarach czasu;</w:t>
      </w:r>
    </w:p>
    <w:p w:rsidR="001A2B77" w:rsidRPr="00A368F6" w:rsidRDefault="001A2B77" w:rsidP="001A2B77">
      <w:pPr>
        <w:spacing w:after="0"/>
      </w:pPr>
      <w:r w:rsidRPr="00A368F6">
        <w:t>-</w:t>
      </w:r>
      <w:r w:rsidRPr="00A368F6">
        <w:tab/>
        <w:t xml:space="preserve">tworzenie raportów z zewnętrznych źródeł danych (inne arkusze kalkulacyjne, bazy danych zgodne z ODBC, pliki tekstowe, pliki XML, </w:t>
      </w:r>
      <w:proofErr w:type="spellStart"/>
      <w:r w:rsidRPr="00A368F6">
        <w:t>webservice</w:t>
      </w:r>
      <w:proofErr w:type="spellEnd"/>
      <w:r w:rsidRPr="00A368F6">
        <w:t>);</w:t>
      </w:r>
    </w:p>
    <w:p w:rsidR="001A2B77" w:rsidRPr="00A368F6" w:rsidRDefault="001A2B77" w:rsidP="001A2B77">
      <w:pPr>
        <w:spacing w:after="0"/>
      </w:pPr>
      <w:r w:rsidRPr="00A368F6">
        <w:t>-</w:t>
      </w:r>
      <w:r w:rsidRPr="00A368F6">
        <w:tab/>
        <w:t>obsługę kostek OLAP oraz tworzenie i edycję kwerend bazodanowych i webowych. Narzędzia wspomagające analizę statystyczną i finansową, analizę wariantową i rozwiązywanie problemów optymalizacyjnych;</w:t>
      </w:r>
    </w:p>
    <w:p w:rsidR="001A2B77" w:rsidRPr="00A368F6" w:rsidRDefault="001A2B77" w:rsidP="001A2B77">
      <w:pPr>
        <w:spacing w:after="0"/>
      </w:pPr>
      <w:r w:rsidRPr="00A368F6">
        <w:lastRenderedPageBreak/>
        <w:t>-</w:t>
      </w:r>
      <w:r w:rsidRPr="00A368F6">
        <w:tab/>
        <w:t>tworzenie raportów tabeli przestawnych umożliwiających dynamiczną zmianę wymiarów oraz wykresów bazujących na danych z tabeli przestawnych;</w:t>
      </w:r>
    </w:p>
    <w:p w:rsidR="001A2B77" w:rsidRPr="00A368F6" w:rsidRDefault="001A2B77" w:rsidP="001A2B77">
      <w:pPr>
        <w:spacing w:after="0"/>
      </w:pPr>
      <w:r w:rsidRPr="00A368F6">
        <w:t>-</w:t>
      </w:r>
      <w:r w:rsidRPr="00A368F6">
        <w:tab/>
        <w:t>wyszukiwanie i zamianę danych;</w:t>
      </w:r>
    </w:p>
    <w:p w:rsidR="001A2B77" w:rsidRPr="00A368F6" w:rsidRDefault="001A2B77" w:rsidP="001A2B77">
      <w:pPr>
        <w:spacing w:after="0"/>
      </w:pPr>
      <w:r w:rsidRPr="00A368F6">
        <w:t>-</w:t>
      </w:r>
      <w:r w:rsidRPr="00A368F6">
        <w:tab/>
        <w:t>wykonywanie analiz danych przy użyciu formatowania warunkowego;</w:t>
      </w:r>
    </w:p>
    <w:p w:rsidR="001A2B77" w:rsidRPr="00A368F6" w:rsidRDefault="001A2B77" w:rsidP="001A2B77">
      <w:pPr>
        <w:spacing w:after="0"/>
      </w:pPr>
      <w:r w:rsidRPr="00A368F6">
        <w:t>-</w:t>
      </w:r>
      <w:r w:rsidRPr="00A368F6">
        <w:tab/>
        <w:t>nazywanie komórek arkusza i odwoływanie się w formułach po takiej nazwie: nagrywanie, tworzenie i edycję makr automatyzujących wykonywanie czynności;</w:t>
      </w:r>
    </w:p>
    <w:p w:rsidR="001A2B77" w:rsidRPr="00A368F6" w:rsidRDefault="001A2B77" w:rsidP="001A2B77">
      <w:pPr>
        <w:spacing w:after="0"/>
      </w:pPr>
      <w:r w:rsidRPr="00A368F6">
        <w:t>-</w:t>
      </w:r>
      <w:r w:rsidRPr="00A368F6">
        <w:tab/>
        <w:t>formatowanie czasu, daty i wartości finansowych z polskim formatem;</w:t>
      </w:r>
    </w:p>
    <w:p w:rsidR="001A2B77" w:rsidRPr="00A368F6" w:rsidRDefault="001A2B77" w:rsidP="001A2B77">
      <w:pPr>
        <w:spacing w:after="0"/>
      </w:pPr>
      <w:r w:rsidRPr="00A368F6">
        <w:t>-</w:t>
      </w:r>
      <w:r w:rsidRPr="00A368F6">
        <w:tab/>
        <w:t>zapis wielu arkuszy kalkulacyjnych w jednym pliku;</w:t>
      </w:r>
    </w:p>
    <w:p w:rsidR="001A2B77" w:rsidRPr="00A368F6" w:rsidRDefault="001A2B77" w:rsidP="001A2B77">
      <w:pPr>
        <w:spacing w:after="0"/>
      </w:pPr>
      <w:r w:rsidRPr="00A368F6">
        <w:t>-</w:t>
      </w:r>
      <w:r w:rsidRPr="00A368F6">
        <w:tab/>
        <w:t>zachowanie pełnej zgodności z formatami plików utworzonych za pomocą oprogramowania Microsoft Excel 2003 oraz Microsoft Excel 2007, 2010, 2013 i 2016, z uwzględnieniem poprawnej realizacji użytych w nich funkcji specjalnych i makropoleceń;</w:t>
      </w:r>
    </w:p>
    <w:p w:rsidR="001A2B77" w:rsidRPr="00A368F6" w:rsidRDefault="001A2B77" w:rsidP="001A2B77">
      <w:pPr>
        <w:spacing w:after="0"/>
      </w:pPr>
      <w:r w:rsidRPr="00A368F6">
        <w:t>-</w:t>
      </w:r>
      <w:r w:rsidRPr="00A368F6">
        <w:tab/>
        <w:t>zabezpieczenie dokumentów hasłem przed odczytem oraz przed wprowadzaniem modyfikacji.</w:t>
      </w:r>
    </w:p>
    <w:p w:rsidR="001A2B77" w:rsidRPr="00A368F6" w:rsidRDefault="001A2B77" w:rsidP="001A2B77">
      <w:pPr>
        <w:spacing w:after="0"/>
      </w:pPr>
      <w:r>
        <w:t>q</w:t>
      </w:r>
      <w:r w:rsidRPr="00A368F6">
        <w:t>)</w:t>
      </w:r>
      <w:r w:rsidRPr="00A368F6">
        <w:tab/>
        <w:t>Narzędzie do przygotowywania i prowadzenia prezentacji multimedialnych umożliwiających:</w:t>
      </w:r>
    </w:p>
    <w:p w:rsidR="001A2B77" w:rsidRPr="00A368F6" w:rsidRDefault="001A2B77" w:rsidP="001A2B77">
      <w:pPr>
        <w:spacing w:after="0"/>
      </w:pPr>
      <w:r w:rsidRPr="00A368F6">
        <w:t>-</w:t>
      </w:r>
      <w:r w:rsidRPr="00A368F6">
        <w:tab/>
        <w:t>drukowanie w formacie umożliwiającym robienie notatek;</w:t>
      </w:r>
    </w:p>
    <w:p w:rsidR="001A2B77" w:rsidRPr="00A368F6" w:rsidRDefault="001A2B77" w:rsidP="001A2B77">
      <w:pPr>
        <w:spacing w:after="0"/>
      </w:pPr>
      <w:r w:rsidRPr="00A368F6">
        <w:t>-</w:t>
      </w:r>
      <w:r w:rsidRPr="00A368F6">
        <w:tab/>
        <w:t>zapisanie jako prezentacja tylko do odczytu;</w:t>
      </w:r>
    </w:p>
    <w:p w:rsidR="001A2B77" w:rsidRPr="00A368F6" w:rsidRDefault="001A2B77" w:rsidP="001A2B77">
      <w:pPr>
        <w:spacing w:after="0"/>
      </w:pPr>
      <w:r w:rsidRPr="00A368F6">
        <w:t>-</w:t>
      </w:r>
      <w:r w:rsidRPr="00A368F6">
        <w:tab/>
        <w:t>nagrywanie narracji i dołączanie jej do prezentacji;</w:t>
      </w:r>
    </w:p>
    <w:p w:rsidR="001A2B77" w:rsidRPr="00A368F6" w:rsidRDefault="001A2B77" w:rsidP="001A2B77">
      <w:pPr>
        <w:spacing w:after="0"/>
      </w:pPr>
      <w:r w:rsidRPr="00A368F6">
        <w:t>-</w:t>
      </w:r>
      <w:r w:rsidRPr="00A368F6">
        <w:tab/>
        <w:t>umieszczanie i formatowanie tekstów, obiektów graficznych, tabel, nagrań dźwiękowych i wideo;</w:t>
      </w:r>
    </w:p>
    <w:p w:rsidR="001A2B77" w:rsidRPr="00A368F6" w:rsidRDefault="001A2B77" w:rsidP="001A2B77">
      <w:pPr>
        <w:spacing w:after="0"/>
      </w:pPr>
      <w:r w:rsidRPr="00A368F6">
        <w:t>-</w:t>
      </w:r>
      <w:r w:rsidRPr="00A368F6">
        <w:tab/>
        <w:t>umieszczanie tabel i wykresów pochodzących z arkusza kalkulacyjnego;</w:t>
      </w:r>
    </w:p>
    <w:p w:rsidR="001A2B77" w:rsidRPr="00A368F6" w:rsidRDefault="001A2B77" w:rsidP="001A2B77">
      <w:pPr>
        <w:spacing w:after="0"/>
      </w:pPr>
      <w:r w:rsidRPr="00A368F6">
        <w:t>-</w:t>
      </w:r>
      <w:r w:rsidRPr="00A368F6">
        <w:tab/>
        <w:t>odświeżenie wykresu znajdującego się w prezentacji po zmianie danych w źródłowym arkuszu kalkulacyjnym;</w:t>
      </w:r>
    </w:p>
    <w:p w:rsidR="001A2B77" w:rsidRPr="00A368F6" w:rsidRDefault="001A2B77" w:rsidP="001A2B77">
      <w:pPr>
        <w:spacing w:after="0"/>
      </w:pPr>
      <w:r w:rsidRPr="00A368F6">
        <w:t>-</w:t>
      </w:r>
      <w:r w:rsidRPr="00A368F6">
        <w:tab/>
        <w:t>możliwość tworzenia animacji obiektów i całych slajdów;</w:t>
      </w:r>
    </w:p>
    <w:p w:rsidR="001A2B77" w:rsidRPr="00A368F6" w:rsidRDefault="001A2B77" w:rsidP="001A2B77">
      <w:pPr>
        <w:spacing w:after="0"/>
      </w:pPr>
      <w:r w:rsidRPr="00A368F6">
        <w:t>-</w:t>
      </w:r>
      <w:r w:rsidRPr="00A368F6">
        <w:tab/>
        <w:t>prowadzenie prezentacji w trybie prezentera, gdzie slajdy są widoczne na jednym monitorze lub projektorze, a na drugim widoczne są slajdy i notatki prezentera;</w:t>
      </w:r>
    </w:p>
    <w:p w:rsidR="001A2B77" w:rsidRPr="00C6430E" w:rsidRDefault="001A2B77" w:rsidP="001A2B77">
      <w:pPr>
        <w:spacing w:after="0"/>
      </w:pPr>
      <w:r w:rsidRPr="00A368F6">
        <w:t>-</w:t>
      </w:r>
      <w:r w:rsidRPr="00A368F6">
        <w:tab/>
        <w:t>zgodność z formatami plików utworzonych za pomocą oprogramowania MS PowerPoint 2003, MS PowerPoint 2007, 2010, 2013 i 2016.</w:t>
      </w:r>
    </w:p>
    <w:p w:rsidR="001A2B77" w:rsidRDefault="001A2B77" w:rsidP="008E6E02">
      <w:pPr>
        <w:rPr>
          <w:b/>
          <w:i/>
          <w:u w:val="single"/>
        </w:rPr>
      </w:pPr>
    </w:p>
    <w:p w:rsidR="008E6E02" w:rsidRDefault="008E6E02" w:rsidP="008E6E02">
      <w:pPr>
        <w:rPr>
          <w:b/>
          <w:i/>
          <w:u w:val="single"/>
        </w:rPr>
      </w:pPr>
    </w:p>
    <w:p w:rsidR="00AF2B53" w:rsidRDefault="00AF2B53" w:rsidP="008E6E02">
      <w:pPr>
        <w:rPr>
          <w:b/>
          <w:i/>
          <w:u w:val="single"/>
        </w:rPr>
      </w:pPr>
    </w:p>
    <w:p w:rsidR="00B03AEF" w:rsidRDefault="00B03AEF">
      <w:pPr>
        <w:rPr>
          <w:rFonts w:asciiTheme="minorHAnsi" w:hAnsiTheme="minorHAnsi"/>
          <w:sz w:val="22"/>
        </w:rPr>
      </w:pPr>
      <w:bookmarkStart w:id="0" w:name="_GoBack"/>
      <w:bookmarkEnd w:id="0"/>
    </w:p>
    <w:sectPr w:rsidR="00B03AEF" w:rsidSect="00437F42">
      <w:headerReference w:type="default" r:id="rId9"/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34" w:rsidRDefault="00004E34" w:rsidP="00B90015">
      <w:pPr>
        <w:spacing w:after="0" w:line="240" w:lineRule="auto"/>
      </w:pPr>
      <w:r>
        <w:separator/>
      </w:r>
    </w:p>
  </w:endnote>
  <w:endnote w:type="continuationSeparator" w:id="0">
    <w:p w:rsidR="00004E34" w:rsidRDefault="00004E34" w:rsidP="00B9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34" w:rsidRDefault="00004E34" w:rsidP="00B90015">
      <w:pPr>
        <w:spacing w:after="0" w:line="240" w:lineRule="auto"/>
      </w:pPr>
      <w:r>
        <w:separator/>
      </w:r>
    </w:p>
  </w:footnote>
  <w:footnote w:type="continuationSeparator" w:id="0">
    <w:p w:rsidR="00004E34" w:rsidRDefault="00004E34" w:rsidP="00B90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AF8" w:rsidRDefault="003F4AF8" w:rsidP="00437F4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63ACA08" wp14:editId="686560E2">
          <wp:extent cx="5760720" cy="771270"/>
          <wp:effectExtent l="0" t="0" r="0" b="0"/>
          <wp:docPr id="1" name="Obraz 1" descr="https://rpo.warmia.mazury.pl/zdjecia/strona/Logotypy_27_11_15/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rpo.warmia.mazury.pl/zdjecia/strona/Logotypy_27_11_15/EFRR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5BB9"/>
    <w:multiLevelType w:val="hybridMultilevel"/>
    <w:tmpl w:val="835E2F04"/>
    <w:lvl w:ilvl="0" w:tplc="746E0F40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2833F2"/>
    <w:multiLevelType w:val="hybridMultilevel"/>
    <w:tmpl w:val="19041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76149"/>
    <w:multiLevelType w:val="hybridMultilevel"/>
    <w:tmpl w:val="D8E66B98"/>
    <w:lvl w:ilvl="0" w:tplc="D7E642E6">
      <w:start w:val="1"/>
      <w:numFmt w:val="bullet"/>
      <w:pStyle w:val="Akapitzlist"/>
      <w:lvlText w:val=""/>
      <w:lvlJc w:val="left"/>
      <w:pPr>
        <w:ind w:left="1440" w:hanging="360"/>
      </w:pPr>
      <w:rPr>
        <w:rFonts w:ascii="Symbol" w:hAnsi="Symbol" w:hint="default"/>
        <w:color w:val="F3AB2D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00"/>
    <w:rsid w:val="00003D01"/>
    <w:rsid w:val="00004E34"/>
    <w:rsid w:val="00063AE2"/>
    <w:rsid w:val="0008795C"/>
    <w:rsid w:val="00087A1B"/>
    <w:rsid w:val="000B5A8E"/>
    <w:rsid w:val="001A2B77"/>
    <w:rsid w:val="001B7FEC"/>
    <w:rsid w:val="002054DC"/>
    <w:rsid w:val="00240300"/>
    <w:rsid w:val="002C3D4B"/>
    <w:rsid w:val="00316724"/>
    <w:rsid w:val="00320DF4"/>
    <w:rsid w:val="00385A33"/>
    <w:rsid w:val="003F4AF8"/>
    <w:rsid w:val="003F4FBF"/>
    <w:rsid w:val="0040597C"/>
    <w:rsid w:val="00437F42"/>
    <w:rsid w:val="00461E42"/>
    <w:rsid w:val="004C773D"/>
    <w:rsid w:val="00546B36"/>
    <w:rsid w:val="00674ADB"/>
    <w:rsid w:val="006D008A"/>
    <w:rsid w:val="00801FDE"/>
    <w:rsid w:val="00825332"/>
    <w:rsid w:val="008477A0"/>
    <w:rsid w:val="008666BE"/>
    <w:rsid w:val="00893E91"/>
    <w:rsid w:val="008E6E02"/>
    <w:rsid w:val="009229DB"/>
    <w:rsid w:val="0098240E"/>
    <w:rsid w:val="00991A1C"/>
    <w:rsid w:val="009B655F"/>
    <w:rsid w:val="009B6FA9"/>
    <w:rsid w:val="009D6587"/>
    <w:rsid w:val="00A73418"/>
    <w:rsid w:val="00AA4523"/>
    <w:rsid w:val="00AF2B53"/>
    <w:rsid w:val="00B03AEF"/>
    <w:rsid w:val="00B47747"/>
    <w:rsid w:val="00B90015"/>
    <w:rsid w:val="00B9584E"/>
    <w:rsid w:val="00BA5A47"/>
    <w:rsid w:val="00BC4FFF"/>
    <w:rsid w:val="00C35CA6"/>
    <w:rsid w:val="00C53432"/>
    <w:rsid w:val="00C73EDD"/>
    <w:rsid w:val="00C96B93"/>
    <w:rsid w:val="00CE3822"/>
    <w:rsid w:val="00DA109E"/>
    <w:rsid w:val="00DA1DAE"/>
    <w:rsid w:val="00DF6044"/>
    <w:rsid w:val="00E312CB"/>
    <w:rsid w:val="00E6281C"/>
    <w:rsid w:val="00EB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03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0300"/>
    <w:pPr>
      <w:numPr>
        <w:numId w:val="1"/>
      </w:numPr>
      <w:suppressAutoHyphens/>
      <w:autoSpaceDE w:val="0"/>
      <w:autoSpaceDN w:val="0"/>
      <w:spacing w:before="60" w:after="0" w:line="240" w:lineRule="auto"/>
      <w:contextualSpacing/>
      <w:jc w:val="both"/>
      <w:textAlignment w:val="baseline"/>
    </w:pPr>
    <w:rPr>
      <w:rFonts w:ascii="Calibri" w:eastAsia="Calibri" w:hAnsi="Calibri" w:cs="Calibri"/>
      <w:color w:val="000000"/>
      <w:sz w:val="22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0300"/>
    <w:rPr>
      <w:rFonts w:ascii="Calibri" w:eastAsia="Calibri" w:hAnsi="Calibri" w:cs="Calibri"/>
      <w:color w:val="000000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90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015"/>
  </w:style>
  <w:style w:type="paragraph" w:styleId="Stopka">
    <w:name w:val="footer"/>
    <w:basedOn w:val="Normalny"/>
    <w:link w:val="StopkaZnak"/>
    <w:uiPriority w:val="99"/>
    <w:unhideWhenUsed/>
    <w:rsid w:val="00B90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015"/>
  </w:style>
  <w:style w:type="paragraph" w:styleId="Tekstdymka">
    <w:name w:val="Balloon Text"/>
    <w:basedOn w:val="Normalny"/>
    <w:link w:val="TekstdymkaZnak"/>
    <w:uiPriority w:val="99"/>
    <w:semiHidden/>
    <w:unhideWhenUsed/>
    <w:rsid w:val="00B9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01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461E42"/>
    <w:pPr>
      <w:spacing w:after="0" w:line="192" w:lineRule="auto"/>
      <w:ind w:right="-285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1E42"/>
    <w:rPr>
      <w:rFonts w:eastAsia="Times New Roman" w:cs="Times New Roman"/>
      <w:sz w:val="20"/>
      <w:szCs w:val="20"/>
      <w:lang w:eastAsia="pl-PL"/>
    </w:rPr>
  </w:style>
  <w:style w:type="paragraph" w:customStyle="1" w:styleId="is-attr">
    <w:name w:val="is-attr"/>
    <w:basedOn w:val="Normalny"/>
    <w:rsid w:val="00674A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34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03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0300"/>
    <w:pPr>
      <w:numPr>
        <w:numId w:val="1"/>
      </w:numPr>
      <w:suppressAutoHyphens/>
      <w:autoSpaceDE w:val="0"/>
      <w:autoSpaceDN w:val="0"/>
      <w:spacing w:before="60" w:after="0" w:line="240" w:lineRule="auto"/>
      <w:contextualSpacing/>
      <w:jc w:val="both"/>
      <w:textAlignment w:val="baseline"/>
    </w:pPr>
    <w:rPr>
      <w:rFonts w:ascii="Calibri" w:eastAsia="Calibri" w:hAnsi="Calibri" w:cs="Calibri"/>
      <w:color w:val="000000"/>
      <w:sz w:val="22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0300"/>
    <w:rPr>
      <w:rFonts w:ascii="Calibri" w:eastAsia="Calibri" w:hAnsi="Calibri" w:cs="Calibri"/>
      <w:color w:val="000000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90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015"/>
  </w:style>
  <w:style w:type="paragraph" w:styleId="Stopka">
    <w:name w:val="footer"/>
    <w:basedOn w:val="Normalny"/>
    <w:link w:val="StopkaZnak"/>
    <w:uiPriority w:val="99"/>
    <w:unhideWhenUsed/>
    <w:rsid w:val="00B90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015"/>
  </w:style>
  <w:style w:type="paragraph" w:styleId="Tekstdymka">
    <w:name w:val="Balloon Text"/>
    <w:basedOn w:val="Normalny"/>
    <w:link w:val="TekstdymkaZnak"/>
    <w:uiPriority w:val="99"/>
    <w:semiHidden/>
    <w:unhideWhenUsed/>
    <w:rsid w:val="00B9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01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461E42"/>
    <w:pPr>
      <w:spacing w:after="0" w:line="192" w:lineRule="auto"/>
      <w:ind w:right="-285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1E42"/>
    <w:rPr>
      <w:rFonts w:eastAsia="Times New Roman" w:cs="Times New Roman"/>
      <w:sz w:val="20"/>
      <w:szCs w:val="20"/>
      <w:lang w:eastAsia="pl-PL"/>
    </w:rPr>
  </w:style>
  <w:style w:type="paragraph" w:customStyle="1" w:styleId="is-attr">
    <w:name w:val="is-attr"/>
    <w:basedOn w:val="Normalny"/>
    <w:rsid w:val="00674A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3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2C2B5-FB13-4E0F-894D-028E35D6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23</Pages>
  <Words>4342</Words>
  <Characters>26058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Edyta</cp:lastModifiedBy>
  <cp:revision>40</cp:revision>
  <cp:lastPrinted>2018-05-24T09:00:00Z</cp:lastPrinted>
  <dcterms:created xsi:type="dcterms:W3CDTF">2017-06-05T13:27:00Z</dcterms:created>
  <dcterms:modified xsi:type="dcterms:W3CDTF">2018-05-24T09:00:00Z</dcterms:modified>
</cp:coreProperties>
</file>