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97" w:rsidRPr="009C7EDB" w:rsidRDefault="001D7051" w:rsidP="00393297">
      <w:pPr>
        <w:ind w:left="284"/>
        <w:jc w:val="right"/>
        <w:rPr>
          <w:rFonts w:asciiTheme="minorHAnsi" w:hAnsiTheme="minorHAnsi"/>
          <w:b/>
        </w:rPr>
      </w:pPr>
      <w:bookmarkStart w:id="0" w:name="_Hlk62639485"/>
      <w:r w:rsidRPr="009C7EDB">
        <w:rPr>
          <w:rFonts w:asciiTheme="minorHAnsi" w:hAnsiTheme="minorHAnsi"/>
          <w:b/>
        </w:rPr>
        <w:t xml:space="preserve">Załącznik nr 8a </w:t>
      </w:r>
      <w:r w:rsidR="00870B97" w:rsidRPr="009C7EDB">
        <w:rPr>
          <w:rFonts w:asciiTheme="minorHAnsi" w:hAnsiTheme="minorHAnsi"/>
          <w:b/>
        </w:rPr>
        <w:t>do SWZ</w:t>
      </w:r>
    </w:p>
    <w:p w:rsidR="00870B97" w:rsidRPr="009C7EDB" w:rsidRDefault="00870B97" w:rsidP="00393297">
      <w:pPr>
        <w:ind w:left="284"/>
        <w:jc w:val="center"/>
        <w:rPr>
          <w:rFonts w:asciiTheme="minorHAnsi" w:hAnsiTheme="minorHAnsi"/>
        </w:rPr>
      </w:pPr>
    </w:p>
    <w:p w:rsidR="00870B97" w:rsidRPr="009C7EDB" w:rsidRDefault="00870B97" w:rsidP="00393297">
      <w:pPr>
        <w:ind w:left="284"/>
        <w:jc w:val="center"/>
        <w:rPr>
          <w:rFonts w:asciiTheme="minorHAnsi" w:hAnsiTheme="minorHAnsi"/>
        </w:rPr>
      </w:pPr>
    </w:p>
    <w:p w:rsidR="00870B97" w:rsidRPr="009C7EDB" w:rsidRDefault="00870B97" w:rsidP="00393297">
      <w:pPr>
        <w:ind w:left="284"/>
        <w:jc w:val="center"/>
        <w:rPr>
          <w:rFonts w:asciiTheme="minorHAnsi" w:hAnsiTheme="minorHAnsi"/>
          <w:b/>
        </w:rPr>
      </w:pPr>
      <w:r w:rsidRPr="009C7EDB">
        <w:rPr>
          <w:rFonts w:asciiTheme="minorHAnsi" w:hAnsiTheme="minorHAnsi"/>
          <w:b/>
        </w:rPr>
        <w:t>OPIS PRZEDMIOTU ZAMÓWIENIA – UZUPEŁNIENIE</w:t>
      </w:r>
    </w:p>
    <w:p w:rsidR="00870B97" w:rsidRPr="009C7EDB" w:rsidRDefault="00870B97" w:rsidP="00393297">
      <w:pPr>
        <w:ind w:left="284"/>
        <w:jc w:val="center"/>
        <w:rPr>
          <w:rFonts w:asciiTheme="minorHAnsi" w:hAnsiTheme="minorHAnsi"/>
          <w:b/>
        </w:rPr>
      </w:pPr>
      <w:bookmarkStart w:id="1" w:name="_GoBack"/>
      <w:bookmarkEnd w:id="1"/>
    </w:p>
    <w:p w:rsidR="00870B97" w:rsidRPr="009C7EDB" w:rsidRDefault="00870B97" w:rsidP="00393297">
      <w:pPr>
        <w:ind w:left="284"/>
        <w:jc w:val="both"/>
        <w:rPr>
          <w:rFonts w:asciiTheme="minorHAnsi" w:hAnsiTheme="minorHAnsi"/>
        </w:rPr>
      </w:pPr>
    </w:p>
    <w:p w:rsidR="00630921" w:rsidRPr="009C7EDB" w:rsidRDefault="00870B97" w:rsidP="009807A3">
      <w:pPr>
        <w:pStyle w:val="Akapitzlist"/>
        <w:numPr>
          <w:ilvl w:val="1"/>
          <w:numId w:val="14"/>
        </w:numPr>
        <w:ind w:left="284" w:hanging="284"/>
        <w:jc w:val="both"/>
        <w:rPr>
          <w:rFonts w:asciiTheme="minorHAnsi" w:hAnsiTheme="minorHAnsi"/>
          <w:b/>
        </w:rPr>
      </w:pPr>
      <w:r w:rsidRPr="009C7EDB">
        <w:rPr>
          <w:rFonts w:asciiTheme="minorHAnsi" w:hAnsiTheme="minorHAnsi"/>
          <w:b/>
        </w:rPr>
        <w:t xml:space="preserve">Krótki opis przedmiotu zamówienia  </w:t>
      </w:r>
    </w:p>
    <w:p w:rsidR="00630921" w:rsidRPr="009C7EDB" w:rsidRDefault="00630921" w:rsidP="00630921">
      <w:pPr>
        <w:pStyle w:val="Akapitzlist"/>
        <w:ind w:left="709"/>
        <w:jc w:val="both"/>
        <w:rPr>
          <w:rFonts w:asciiTheme="minorHAnsi" w:hAnsiTheme="minorHAnsi"/>
          <w:b/>
        </w:rPr>
      </w:pPr>
    </w:p>
    <w:p w:rsidR="00630921" w:rsidRPr="009C7EDB" w:rsidRDefault="00630921" w:rsidP="00630921">
      <w:pPr>
        <w:ind w:left="284"/>
        <w:jc w:val="both"/>
        <w:rPr>
          <w:rFonts w:asciiTheme="minorHAnsi" w:hAnsiTheme="minorHAnsi"/>
        </w:rPr>
      </w:pPr>
      <w:r w:rsidRPr="009C7EDB">
        <w:rPr>
          <w:rFonts w:asciiTheme="minorHAnsi" w:hAnsiTheme="minorHAnsi"/>
        </w:rPr>
        <w:t>Przedmiot zamówienia dotyczy roboty budowlanej polegającej na przebudowie stadionu lekkoatletycznego, piłkarskiego wraz z zagospodarowaniem przyległego terenu i infrastrukturą techniczną w Dobrym Mieście, w tym:</w:t>
      </w:r>
    </w:p>
    <w:p w:rsidR="00630921" w:rsidRPr="009C7EDB" w:rsidRDefault="00630921" w:rsidP="00630921">
      <w:pPr>
        <w:pStyle w:val="Akapitzlist"/>
        <w:numPr>
          <w:ilvl w:val="1"/>
          <w:numId w:val="7"/>
        </w:numPr>
        <w:ind w:left="709" w:hanging="425"/>
        <w:contextualSpacing w:val="0"/>
        <w:jc w:val="both"/>
        <w:rPr>
          <w:rFonts w:asciiTheme="minorHAnsi" w:hAnsiTheme="minorHAnsi" w:cs="Arial"/>
        </w:rPr>
      </w:pPr>
      <w:r w:rsidRPr="009C7EDB">
        <w:rPr>
          <w:rFonts w:asciiTheme="minorHAnsi" w:hAnsiTheme="minorHAnsi" w:cs="Arial"/>
        </w:rPr>
        <w:t xml:space="preserve">boiska piłkarskiego </w:t>
      </w:r>
      <w:r w:rsidRPr="009C7EDB">
        <w:rPr>
          <w:rFonts w:asciiTheme="minorHAnsi" w:hAnsiTheme="minorHAnsi"/>
        </w:rPr>
        <w:t>o wymiarach 105,0 m x 68,0 m o nawierzchni trawiastej naturalnej (trawa z wysiewu, z właściwym przygotowaniem podłoża gwarantującym otrzymanie wysokiej  jakości murawy sportowej i nawierzchni bez zagłębień i wzniesień z właściwymi spadkami zgodnie z projektem. Roboty „zakryte” związane z zakładaniem trawnika powinny być odebrane przez inspektora nadzoru inwestorskiego i udokumentowane protokołami odbioru),</w:t>
      </w:r>
    </w:p>
    <w:p w:rsidR="00630921" w:rsidRPr="009C7EDB" w:rsidRDefault="00630921" w:rsidP="00630921">
      <w:pPr>
        <w:pStyle w:val="Akapitzlist"/>
        <w:numPr>
          <w:ilvl w:val="1"/>
          <w:numId w:val="7"/>
        </w:numPr>
        <w:ind w:left="709" w:hanging="425"/>
        <w:contextualSpacing w:val="0"/>
        <w:jc w:val="both"/>
        <w:rPr>
          <w:rFonts w:asciiTheme="minorHAnsi" w:hAnsiTheme="minorHAnsi" w:cs="Arial"/>
        </w:rPr>
      </w:pPr>
      <w:r w:rsidRPr="009C7EDB">
        <w:rPr>
          <w:rFonts w:asciiTheme="minorHAnsi" w:hAnsiTheme="minorHAnsi" w:cs="Arial"/>
        </w:rPr>
        <w:t>4-torowej bieżni lekkoatletycznej okrężnej o długości 400,0 m,</w:t>
      </w:r>
    </w:p>
    <w:p w:rsidR="00630921" w:rsidRPr="009C7EDB" w:rsidRDefault="00630921" w:rsidP="00630921">
      <w:pPr>
        <w:pStyle w:val="Akapitzlist"/>
        <w:numPr>
          <w:ilvl w:val="1"/>
          <w:numId w:val="7"/>
        </w:numPr>
        <w:ind w:left="709" w:hanging="425"/>
        <w:contextualSpacing w:val="0"/>
        <w:jc w:val="both"/>
        <w:rPr>
          <w:rFonts w:asciiTheme="minorHAnsi" w:hAnsiTheme="minorHAnsi" w:cs="Arial"/>
        </w:rPr>
      </w:pPr>
      <w:r w:rsidRPr="009C7EDB">
        <w:rPr>
          <w:rFonts w:asciiTheme="minorHAnsi" w:hAnsiTheme="minorHAnsi" w:cs="Arial"/>
        </w:rPr>
        <w:t xml:space="preserve">6-torowej bieżni </w:t>
      </w:r>
      <w:r w:rsidRPr="009C7EDB">
        <w:rPr>
          <w:rFonts w:asciiTheme="minorHAnsi" w:hAnsiTheme="minorHAnsi"/>
        </w:rPr>
        <w:t>prostej do biegów na 100,0 i 110,0 m,</w:t>
      </w:r>
    </w:p>
    <w:p w:rsidR="00630921" w:rsidRPr="009C7EDB" w:rsidRDefault="00630921" w:rsidP="00630921">
      <w:pPr>
        <w:pStyle w:val="Akapitzlist"/>
        <w:numPr>
          <w:ilvl w:val="1"/>
          <w:numId w:val="7"/>
        </w:numPr>
        <w:ind w:left="709" w:hanging="425"/>
        <w:contextualSpacing w:val="0"/>
        <w:jc w:val="both"/>
        <w:rPr>
          <w:rFonts w:asciiTheme="minorHAnsi" w:hAnsiTheme="minorHAnsi" w:cs="Arial"/>
        </w:rPr>
      </w:pPr>
      <w:r w:rsidRPr="009C7EDB">
        <w:rPr>
          <w:rFonts w:asciiTheme="minorHAnsi" w:hAnsiTheme="minorHAnsi"/>
        </w:rPr>
        <w:t>skoczni do skoku wzwyż,</w:t>
      </w:r>
    </w:p>
    <w:p w:rsidR="00630921" w:rsidRPr="009C7EDB" w:rsidRDefault="00630921" w:rsidP="00630921">
      <w:pPr>
        <w:pStyle w:val="Akapitzlist"/>
        <w:numPr>
          <w:ilvl w:val="1"/>
          <w:numId w:val="7"/>
        </w:numPr>
        <w:ind w:left="709" w:hanging="425"/>
        <w:contextualSpacing w:val="0"/>
        <w:jc w:val="both"/>
        <w:rPr>
          <w:rFonts w:asciiTheme="minorHAnsi" w:hAnsiTheme="minorHAnsi" w:cs="Arial"/>
        </w:rPr>
      </w:pPr>
      <w:r w:rsidRPr="009C7EDB">
        <w:rPr>
          <w:rFonts w:asciiTheme="minorHAnsi" w:hAnsiTheme="minorHAnsi"/>
        </w:rPr>
        <w:t>dwóch skoczni do skoku w dal i trójskoku,</w:t>
      </w:r>
    </w:p>
    <w:p w:rsidR="00630921" w:rsidRPr="009C7EDB" w:rsidRDefault="00630921" w:rsidP="00630921">
      <w:pPr>
        <w:pStyle w:val="Akapitzlist"/>
        <w:numPr>
          <w:ilvl w:val="1"/>
          <w:numId w:val="7"/>
        </w:numPr>
        <w:ind w:left="709" w:hanging="425"/>
        <w:contextualSpacing w:val="0"/>
        <w:jc w:val="both"/>
        <w:rPr>
          <w:rFonts w:asciiTheme="minorHAnsi" w:hAnsiTheme="minorHAnsi" w:cs="Arial"/>
        </w:rPr>
      </w:pPr>
      <w:r w:rsidRPr="009C7EDB">
        <w:rPr>
          <w:rFonts w:asciiTheme="minorHAnsi" w:hAnsiTheme="minorHAnsi"/>
        </w:rPr>
        <w:t>rzutni do pchnięcia kulą,</w:t>
      </w:r>
    </w:p>
    <w:p w:rsidR="00630921" w:rsidRPr="009C7EDB" w:rsidRDefault="00630921" w:rsidP="00630921">
      <w:pPr>
        <w:pStyle w:val="Akapitzlist"/>
        <w:numPr>
          <w:ilvl w:val="1"/>
          <w:numId w:val="7"/>
        </w:numPr>
        <w:ind w:left="709" w:hanging="425"/>
        <w:contextualSpacing w:val="0"/>
        <w:jc w:val="both"/>
        <w:rPr>
          <w:rFonts w:asciiTheme="minorHAnsi" w:hAnsiTheme="minorHAnsi" w:cs="Arial"/>
        </w:rPr>
      </w:pPr>
      <w:r w:rsidRPr="009C7EDB">
        <w:rPr>
          <w:rFonts w:asciiTheme="minorHAnsi" w:hAnsiTheme="minorHAnsi"/>
        </w:rPr>
        <w:t>rzutni do rzutu oszczepem,</w:t>
      </w:r>
    </w:p>
    <w:p w:rsidR="00630921" w:rsidRPr="009C7EDB" w:rsidRDefault="00630921" w:rsidP="00630921">
      <w:pPr>
        <w:pStyle w:val="Akapitzlist"/>
        <w:numPr>
          <w:ilvl w:val="1"/>
          <w:numId w:val="7"/>
        </w:numPr>
        <w:ind w:left="709" w:hanging="425"/>
        <w:contextualSpacing w:val="0"/>
        <w:jc w:val="both"/>
        <w:rPr>
          <w:rFonts w:asciiTheme="minorHAnsi" w:hAnsiTheme="minorHAnsi" w:cs="Arial"/>
        </w:rPr>
      </w:pPr>
      <w:r w:rsidRPr="009C7EDB">
        <w:rPr>
          <w:rFonts w:asciiTheme="minorHAnsi" w:hAnsiTheme="minorHAnsi"/>
        </w:rPr>
        <w:t>skoczni do skoku o tyczce</w:t>
      </w:r>
    </w:p>
    <w:p w:rsidR="00630921" w:rsidRPr="009C7EDB" w:rsidRDefault="00630921" w:rsidP="00630921">
      <w:pPr>
        <w:pStyle w:val="Akapitzlist"/>
        <w:numPr>
          <w:ilvl w:val="1"/>
          <w:numId w:val="7"/>
        </w:numPr>
        <w:ind w:left="709" w:hanging="425"/>
        <w:contextualSpacing w:val="0"/>
        <w:jc w:val="both"/>
        <w:rPr>
          <w:rFonts w:asciiTheme="minorHAnsi" w:hAnsiTheme="minorHAnsi" w:cs="Arial"/>
        </w:rPr>
      </w:pPr>
      <w:r w:rsidRPr="009C7EDB">
        <w:rPr>
          <w:rFonts w:asciiTheme="minorHAnsi" w:hAnsiTheme="minorHAnsi"/>
        </w:rPr>
        <w:t>o</w:t>
      </w:r>
      <w:r w:rsidRPr="009C7EDB">
        <w:rPr>
          <w:rFonts w:asciiTheme="minorHAnsi" w:hAnsiTheme="minorHAnsi" w:cs="Arial"/>
        </w:rPr>
        <w:t xml:space="preserve">biektów dodatkowych, w tym boiska do siatkówki i boiska do koszykówki. </w:t>
      </w:r>
    </w:p>
    <w:p w:rsidR="00630921" w:rsidRPr="009C7EDB" w:rsidRDefault="00630921" w:rsidP="00630921">
      <w:pPr>
        <w:ind w:left="284"/>
        <w:jc w:val="both"/>
        <w:rPr>
          <w:rFonts w:asciiTheme="minorHAnsi" w:hAnsiTheme="minorHAnsi"/>
          <w:b/>
          <w:bCs/>
          <w:iCs/>
          <w:highlight w:val="yellow"/>
        </w:rPr>
      </w:pPr>
      <w:r w:rsidRPr="009C7EDB">
        <w:rPr>
          <w:rFonts w:asciiTheme="minorHAnsi" w:hAnsiTheme="minorHAnsi"/>
          <w:b/>
          <w:bCs/>
          <w:iCs/>
        </w:rPr>
        <w:t>Kategoria obiektu: V</w:t>
      </w:r>
      <w:r w:rsidR="00E0439D" w:rsidRPr="009C7EDB">
        <w:rPr>
          <w:rFonts w:asciiTheme="minorHAnsi" w:hAnsiTheme="minorHAnsi"/>
          <w:b/>
          <w:bCs/>
          <w:iCs/>
        </w:rPr>
        <w:t>A</w:t>
      </w:r>
      <w:r w:rsidRPr="009C7EDB">
        <w:rPr>
          <w:rFonts w:asciiTheme="minorHAnsi" w:hAnsiTheme="minorHAnsi"/>
          <w:b/>
          <w:bCs/>
          <w:iCs/>
        </w:rPr>
        <w:t xml:space="preserve"> </w:t>
      </w:r>
      <w:r w:rsidR="00E0439D" w:rsidRPr="009C7EDB">
        <w:rPr>
          <w:rFonts w:asciiTheme="minorHAnsi" w:hAnsiTheme="minorHAnsi"/>
          <w:b/>
          <w:bCs/>
          <w:iCs/>
        </w:rPr>
        <w:t>–</w:t>
      </w:r>
      <w:r w:rsidRPr="009C7EDB">
        <w:rPr>
          <w:rFonts w:asciiTheme="minorHAnsi" w:hAnsiTheme="minorHAnsi"/>
          <w:b/>
          <w:bCs/>
          <w:iCs/>
        </w:rPr>
        <w:t xml:space="preserve"> obiekty sportu i rekreacji.</w:t>
      </w:r>
    </w:p>
    <w:p w:rsidR="00C44775" w:rsidRPr="009C7EDB" w:rsidRDefault="00C44775" w:rsidP="00C44775">
      <w:pPr>
        <w:ind w:left="284"/>
        <w:jc w:val="both"/>
        <w:rPr>
          <w:rFonts w:asciiTheme="minorHAnsi" w:hAnsiTheme="minorHAnsi"/>
          <w:b/>
        </w:rPr>
      </w:pPr>
      <w:r w:rsidRPr="009C7EDB">
        <w:rPr>
          <w:rFonts w:asciiTheme="minorHAnsi" w:hAnsiTheme="minorHAnsi"/>
        </w:rPr>
        <w:t>Zamówienie obejmuje wykonanie obiektu, który przystosowany będzie do rozgrywania pełnego zakresu sportów lekkiej atletyki, tj. biegi, skok wzwyż, skok o tyczce, skok w dal i trójskok, pchnięcie kulą, rzut dyskiem i młotem, rzut oszczepem. Dodatkowo zamówienie obejmuje wykonanie boiska do siatkówki i koszykówki o nawierzchni poliuretanowej.</w:t>
      </w:r>
    </w:p>
    <w:p w:rsidR="00630921" w:rsidRPr="009C7EDB" w:rsidRDefault="00630921" w:rsidP="00C44775">
      <w:pPr>
        <w:ind w:left="284" w:firstLine="424"/>
        <w:jc w:val="both"/>
        <w:rPr>
          <w:rFonts w:asciiTheme="minorHAnsi" w:hAnsiTheme="minorHAnsi"/>
        </w:rPr>
      </w:pPr>
      <w:r w:rsidRPr="009C7EDB">
        <w:rPr>
          <w:rFonts w:asciiTheme="minorHAnsi" w:hAnsiTheme="minorHAnsi"/>
        </w:rPr>
        <w:t xml:space="preserve">Projektowana przebudowa stadionu przewiduje również wykonanie m.in. instalacji zraszającej murawę boiska, odwodnienie z nadmiaru wody, komorę wodomierzową do nawadniania płyty boiska wraz z wyposażeniem, </w:t>
      </w:r>
      <w:proofErr w:type="spellStart"/>
      <w:r w:rsidRPr="009C7EDB">
        <w:rPr>
          <w:rFonts w:asciiTheme="minorHAnsi" w:hAnsiTheme="minorHAnsi"/>
        </w:rPr>
        <w:t>piłkochwyty</w:t>
      </w:r>
      <w:proofErr w:type="spellEnd"/>
      <w:r w:rsidRPr="009C7EDB">
        <w:rPr>
          <w:rFonts w:asciiTheme="minorHAnsi" w:hAnsiTheme="minorHAnsi"/>
        </w:rPr>
        <w:t>, wyposażenie stadionu zgodnie z dokumentacją projektową</w:t>
      </w:r>
      <w:r w:rsidR="00C44775" w:rsidRPr="009C7EDB">
        <w:rPr>
          <w:rFonts w:asciiTheme="minorHAnsi" w:hAnsiTheme="minorHAnsi"/>
        </w:rPr>
        <w:t xml:space="preserve">, </w:t>
      </w:r>
      <w:r w:rsidRPr="009C7EDB">
        <w:rPr>
          <w:rFonts w:asciiTheme="minorHAnsi" w:hAnsiTheme="minorHAnsi"/>
        </w:rPr>
        <w:t>przedmiarami robót</w:t>
      </w:r>
      <w:r w:rsidR="00C44775" w:rsidRPr="009C7EDB">
        <w:rPr>
          <w:rFonts w:asciiTheme="minorHAnsi" w:hAnsiTheme="minorHAnsi"/>
        </w:rPr>
        <w:t xml:space="preserve"> oraz niniejszej SWZ.</w:t>
      </w:r>
    </w:p>
    <w:p w:rsidR="00630921" w:rsidRPr="009C7EDB" w:rsidRDefault="00630921" w:rsidP="00630921">
      <w:pPr>
        <w:ind w:left="284"/>
        <w:jc w:val="both"/>
        <w:rPr>
          <w:rFonts w:asciiTheme="minorHAnsi" w:hAnsiTheme="minorHAnsi"/>
        </w:rPr>
      </w:pPr>
      <w:r w:rsidRPr="009C7EDB">
        <w:rPr>
          <w:rFonts w:asciiTheme="minorHAnsi" w:hAnsiTheme="minorHAnsi"/>
        </w:rPr>
        <w:t>W zakresie lekkiej atletyki na obiekcie będzie można rozgrywać zawody lekkoatletyczne we wszystkich kategoriach wiekowych rangi Mistrzostw Polski oraz mityngów ogólnopolskich w wybranych konkurencjach o kategorii VA z certyfikowaną przez WA nawierzchnią syntetyczną, umożliwiającą rozgrywanie imprez lekkoatletycznych.</w:t>
      </w:r>
    </w:p>
    <w:p w:rsidR="00630921" w:rsidRPr="009C7EDB" w:rsidRDefault="00630921" w:rsidP="00630921">
      <w:pPr>
        <w:ind w:left="284"/>
        <w:jc w:val="both"/>
        <w:rPr>
          <w:rFonts w:asciiTheme="minorHAnsi" w:hAnsiTheme="minorHAnsi"/>
          <w:b/>
          <w:bCs/>
          <w:iCs/>
        </w:rPr>
      </w:pPr>
      <w:r w:rsidRPr="009C7EDB">
        <w:rPr>
          <w:rFonts w:asciiTheme="minorHAnsi" w:hAnsiTheme="minorHAnsi"/>
        </w:rPr>
        <w:t xml:space="preserve">Roboty obejmą wykonanie bieżni lekkoatletycznej z </w:t>
      </w:r>
      <w:proofErr w:type="spellStart"/>
      <w:r w:rsidRPr="009C7EDB">
        <w:rPr>
          <w:rFonts w:asciiTheme="minorHAnsi" w:hAnsiTheme="minorHAnsi"/>
        </w:rPr>
        <w:t>bezspoinową</w:t>
      </w:r>
      <w:proofErr w:type="spellEnd"/>
      <w:r w:rsidRPr="009C7EDB">
        <w:rPr>
          <w:rFonts w:asciiTheme="minorHAnsi" w:hAnsiTheme="minorHAnsi"/>
        </w:rPr>
        <w:t xml:space="preserve"> nawierzchnią sportową typu pełny poliuretan </w:t>
      </w:r>
      <w:r w:rsidRPr="009C7EDB">
        <w:rPr>
          <w:rFonts w:asciiTheme="minorHAnsi" w:hAnsiTheme="minorHAnsi"/>
          <w:b/>
          <w:bCs/>
        </w:rPr>
        <w:t xml:space="preserve">„Full </w:t>
      </w:r>
      <w:proofErr w:type="spellStart"/>
      <w:r w:rsidRPr="009C7EDB">
        <w:rPr>
          <w:rFonts w:asciiTheme="minorHAnsi" w:hAnsiTheme="minorHAnsi"/>
          <w:b/>
          <w:bCs/>
        </w:rPr>
        <w:t>Pur</w:t>
      </w:r>
      <w:proofErr w:type="spellEnd"/>
      <w:r w:rsidRPr="009C7EDB">
        <w:rPr>
          <w:rFonts w:asciiTheme="minorHAnsi" w:hAnsiTheme="minorHAnsi"/>
          <w:b/>
          <w:bCs/>
        </w:rPr>
        <w:t>”,</w:t>
      </w:r>
      <w:r w:rsidRPr="009C7EDB">
        <w:rPr>
          <w:rFonts w:asciiTheme="minorHAnsi" w:hAnsiTheme="minorHAnsi"/>
        </w:rPr>
        <w:t xml:space="preserve"> która spełniać ma wymogi WA/IAAF i PZLA w zakresie rozgrywania pełnego programu konkurencji i </w:t>
      </w:r>
      <w:r w:rsidRPr="009C7EDB">
        <w:rPr>
          <w:rFonts w:asciiTheme="minorHAnsi" w:hAnsiTheme="minorHAnsi"/>
          <w:b/>
          <w:bCs/>
          <w:iCs/>
        </w:rPr>
        <w:t>boiska piłkarskiego z nawierzchnią z trawy naturalnej (wraz z 12 miesięczną pielęgnacją).</w:t>
      </w:r>
    </w:p>
    <w:p w:rsidR="00630921" w:rsidRPr="009C7EDB" w:rsidRDefault="00630921" w:rsidP="00630921">
      <w:pPr>
        <w:ind w:left="284"/>
        <w:jc w:val="both"/>
        <w:rPr>
          <w:rFonts w:asciiTheme="minorHAnsi" w:hAnsiTheme="minorHAnsi"/>
        </w:rPr>
      </w:pPr>
      <w:bookmarkStart w:id="2" w:name="_Hlk64545829"/>
      <w:r w:rsidRPr="009C7EDB">
        <w:rPr>
          <w:rFonts w:asciiTheme="minorHAnsi" w:hAnsiTheme="minorHAnsi"/>
        </w:rPr>
        <w:t>Mieszanka zastosowana do obsiewu płyty głównej musi być określona przez producenta jako sportowa do boisk piłkarskich potwierdzone Świadectwem i oświadczeniem producenta. Siew należy przeprowadzić przy użyciu specjalistycznego siewnika do boisk. Przed siewem należy zaprawić warstwę wegetacyjną nawozem startowym dedykowanym do obiektów sportowych, w ilościach wskazanych przez producenta nawozu.</w:t>
      </w:r>
      <w:r w:rsidR="00087E1D" w:rsidRPr="009C7EDB">
        <w:rPr>
          <w:rFonts w:asciiTheme="minorHAnsi" w:hAnsiTheme="minorHAnsi"/>
        </w:rPr>
        <w:t xml:space="preserve"> </w:t>
      </w:r>
      <w:r w:rsidRPr="009C7EDB">
        <w:rPr>
          <w:rFonts w:asciiTheme="minorHAnsi" w:hAnsiTheme="minorHAnsi"/>
        </w:rPr>
        <w:t xml:space="preserve">Po </w:t>
      </w:r>
      <w:r w:rsidRPr="009C7EDB">
        <w:rPr>
          <w:rFonts w:asciiTheme="minorHAnsi" w:hAnsiTheme="minorHAnsi"/>
        </w:rPr>
        <w:lastRenderedPageBreak/>
        <w:t>rozsypaniu nawozu należy go płytko przemieszać. Nawozy mineralne powinny być w opakowaniu, z podanym składem chemicznym (zawartość azotu, fosforu, potasu – N,P,K oraz mikroelementów). Nawozy należy zabezpieczyć przed zawilgoceniem i zbryleniem w czasie transportu i przechowywania.</w:t>
      </w:r>
      <w:r w:rsidR="00087E1D" w:rsidRPr="009C7EDB">
        <w:rPr>
          <w:rFonts w:asciiTheme="minorHAnsi" w:hAnsiTheme="minorHAnsi"/>
        </w:rPr>
        <w:t xml:space="preserve"> </w:t>
      </w:r>
      <w:r w:rsidRPr="009C7EDB">
        <w:rPr>
          <w:rFonts w:asciiTheme="minorHAnsi" w:hAnsiTheme="minorHAnsi"/>
        </w:rPr>
        <w:t>Dokumentem określającym nawozy jest Karta bezpieczeństwa Produktu (</w:t>
      </w:r>
      <w:proofErr w:type="spellStart"/>
      <w:r w:rsidRPr="009C7EDB">
        <w:rPr>
          <w:rFonts w:asciiTheme="minorHAnsi" w:hAnsiTheme="minorHAnsi"/>
        </w:rPr>
        <w:t>Safety</w:t>
      </w:r>
      <w:proofErr w:type="spellEnd"/>
      <w:r w:rsidRPr="009C7EDB">
        <w:rPr>
          <w:rFonts w:asciiTheme="minorHAnsi" w:hAnsiTheme="minorHAnsi"/>
        </w:rPr>
        <w:t xml:space="preserve"> Data </w:t>
      </w:r>
      <w:proofErr w:type="spellStart"/>
      <w:r w:rsidRPr="009C7EDB">
        <w:rPr>
          <w:rFonts w:asciiTheme="minorHAnsi" w:hAnsiTheme="minorHAnsi"/>
        </w:rPr>
        <w:t>Sweet</w:t>
      </w:r>
      <w:proofErr w:type="spellEnd"/>
      <w:r w:rsidRPr="009C7EDB">
        <w:rPr>
          <w:rFonts w:asciiTheme="minorHAnsi" w:hAnsiTheme="minorHAnsi"/>
        </w:rPr>
        <w:t>) Europejska rejestracja produktu.</w:t>
      </w:r>
      <w:r w:rsidR="00C44775" w:rsidRPr="009C7EDB">
        <w:rPr>
          <w:rFonts w:asciiTheme="minorHAnsi" w:hAnsiTheme="minorHAnsi"/>
        </w:rPr>
        <w:t xml:space="preserve"> </w:t>
      </w:r>
    </w:p>
    <w:bookmarkEnd w:id="2"/>
    <w:p w:rsidR="00630921" w:rsidRPr="009C7EDB" w:rsidRDefault="00630921" w:rsidP="00630921">
      <w:pPr>
        <w:pStyle w:val="Akapitzlist"/>
        <w:ind w:left="709"/>
        <w:jc w:val="both"/>
        <w:rPr>
          <w:rFonts w:asciiTheme="minorHAnsi" w:hAnsiTheme="minorHAnsi"/>
          <w:b/>
        </w:rPr>
      </w:pPr>
    </w:p>
    <w:bookmarkEnd w:id="0"/>
    <w:p w:rsidR="00870B97" w:rsidRPr="009C7EDB" w:rsidRDefault="00870B97" w:rsidP="00630921">
      <w:pPr>
        <w:pStyle w:val="Akapitzlist"/>
        <w:numPr>
          <w:ilvl w:val="1"/>
          <w:numId w:val="14"/>
        </w:numPr>
        <w:ind w:left="709" w:hanging="425"/>
        <w:jc w:val="both"/>
        <w:rPr>
          <w:rFonts w:asciiTheme="minorHAnsi" w:hAnsiTheme="minorHAnsi"/>
          <w:b/>
        </w:rPr>
      </w:pPr>
      <w:r w:rsidRPr="009C7EDB">
        <w:rPr>
          <w:rFonts w:asciiTheme="minorHAnsi" w:hAnsiTheme="minorHAnsi"/>
          <w:b/>
        </w:rPr>
        <w:t>Charakterystyka wymaganej nawierzchni typu pełny poliuretan:</w:t>
      </w:r>
    </w:p>
    <w:p w:rsidR="009807A3" w:rsidRPr="009C7EDB" w:rsidRDefault="009807A3" w:rsidP="009807A3">
      <w:pPr>
        <w:pStyle w:val="Akapitzlist"/>
        <w:ind w:left="709"/>
        <w:jc w:val="both"/>
        <w:rPr>
          <w:rFonts w:asciiTheme="minorHAnsi" w:hAnsiTheme="minorHAnsi"/>
          <w:b/>
        </w:rPr>
      </w:pPr>
    </w:p>
    <w:p w:rsidR="00630921" w:rsidRPr="009C7EDB" w:rsidRDefault="00630921" w:rsidP="00630921">
      <w:pPr>
        <w:ind w:left="284"/>
        <w:jc w:val="both"/>
        <w:rPr>
          <w:rFonts w:asciiTheme="minorHAnsi" w:hAnsiTheme="minorHAnsi"/>
        </w:rPr>
      </w:pPr>
      <w:r w:rsidRPr="009C7EDB">
        <w:rPr>
          <w:rFonts w:asciiTheme="minorHAnsi" w:hAnsiTheme="minorHAnsi"/>
        </w:rPr>
        <w:t xml:space="preserve">Nawierzchnia sportowa typu pełny poliuretan </w:t>
      </w:r>
      <w:r w:rsidRPr="009C7EDB">
        <w:rPr>
          <w:rFonts w:asciiTheme="minorHAnsi" w:hAnsiTheme="minorHAnsi"/>
          <w:b/>
          <w:bCs/>
          <w:i/>
          <w:iCs/>
        </w:rPr>
        <w:t xml:space="preserve">„Full </w:t>
      </w:r>
      <w:proofErr w:type="spellStart"/>
      <w:r w:rsidRPr="009C7EDB">
        <w:rPr>
          <w:rFonts w:asciiTheme="minorHAnsi" w:hAnsiTheme="minorHAnsi"/>
          <w:b/>
          <w:bCs/>
          <w:i/>
          <w:iCs/>
        </w:rPr>
        <w:t>Pur</w:t>
      </w:r>
      <w:proofErr w:type="spellEnd"/>
      <w:r w:rsidRPr="009C7EDB">
        <w:rPr>
          <w:rFonts w:asciiTheme="minorHAnsi" w:hAnsiTheme="minorHAnsi"/>
          <w:b/>
          <w:bCs/>
          <w:i/>
          <w:iCs/>
        </w:rPr>
        <w:t>”</w:t>
      </w:r>
      <w:r w:rsidRPr="009C7EDB">
        <w:rPr>
          <w:rFonts w:asciiTheme="minorHAnsi" w:hAnsiTheme="minorHAnsi"/>
        </w:rPr>
        <w:t xml:space="preserve"> </w:t>
      </w:r>
      <w:proofErr w:type="spellStart"/>
      <w:r w:rsidRPr="009C7EDB">
        <w:rPr>
          <w:rFonts w:asciiTheme="minorHAnsi" w:hAnsiTheme="minorHAnsi"/>
        </w:rPr>
        <w:t>bezspoinowa</w:t>
      </w:r>
      <w:proofErr w:type="spellEnd"/>
      <w:r w:rsidRPr="009C7EDB">
        <w:rPr>
          <w:rFonts w:asciiTheme="minorHAnsi" w:hAnsiTheme="minorHAnsi"/>
        </w:rPr>
        <w:t xml:space="preserve">, </w:t>
      </w:r>
      <w:proofErr w:type="spellStart"/>
      <w:r w:rsidRPr="009C7EDB">
        <w:rPr>
          <w:rFonts w:asciiTheme="minorHAnsi" w:hAnsiTheme="minorHAnsi"/>
        </w:rPr>
        <w:t>poliuretanowo-gumowa</w:t>
      </w:r>
      <w:proofErr w:type="spellEnd"/>
      <w:r w:rsidRPr="009C7EDB">
        <w:rPr>
          <w:rFonts w:asciiTheme="minorHAnsi" w:hAnsiTheme="minorHAnsi"/>
        </w:rPr>
        <w:t>, grubość min 14 mm, nieprzepuszczalna dla wody, do użytkowania w butach z kolcami, wykonywana bezpośrednio na placu budowy na podbudowie asfaltobetonowej lub betonowej</w:t>
      </w:r>
      <w:r w:rsidR="00C44775" w:rsidRPr="009C7EDB">
        <w:rPr>
          <w:rFonts w:asciiTheme="minorHAnsi" w:hAnsiTheme="minorHAnsi"/>
        </w:rPr>
        <w:t>, s</w:t>
      </w:r>
      <w:r w:rsidRPr="009C7EDB">
        <w:rPr>
          <w:rFonts w:asciiTheme="minorHAnsi" w:hAnsiTheme="minorHAnsi"/>
        </w:rPr>
        <w:t>kładająca się z 3 warstw z czego górna warstwa użytkowa o grubości min 4 mm. W każdej warstwie nawierzchnia posiada jednolitą barwę w połączeniu z granulatem EPDM. Służy do pokrywania nawierzchni bieżni lekkoatletycznych, sektorów i rozbiegów konkurencji technicznych zawodów lekkoatletycznych na obiektach, na których odbywają się zawody najwyższej światowej rangi.</w:t>
      </w:r>
    </w:p>
    <w:p w:rsidR="00630921" w:rsidRPr="009C7EDB" w:rsidRDefault="00630921" w:rsidP="00630921">
      <w:pPr>
        <w:ind w:left="284"/>
        <w:jc w:val="both"/>
        <w:rPr>
          <w:rFonts w:asciiTheme="minorHAnsi" w:hAnsiTheme="minorHAnsi"/>
        </w:rPr>
      </w:pPr>
      <w:r w:rsidRPr="009C7EDB">
        <w:rPr>
          <w:rFonts w:asciiTheme="minorHAnsi" w:hAnsiTheme="minorHAnsi"/>
          <w:b/>
          <w:bCs/>
        </w:rPr>
        <w:t>Nawierzchnia powinna spełniać wymogi WA/IAAF</w:t>
      </w:r>
      <w:r w:rsidRPr="009C7EDB">
        <w:rPr>
          <w:rFonts w:asciiTheme="minorHAnsi" w:hAnsiTheme="minorHAnsi"/>
        </w:rPr>
        <w:t>.</w:t>
      </w:r>
    </w:p>
    <w:p w:rsidR="00630921" w:rsidRPr="009C7EDB" w:rsidRDefault="00630921" w:rsidP="00630921">
      <w:pPr>
        <w:ind w:left="284"/>
        <w:jc w:val="both"/>
        <w:rPr>
          <w:rFonts w:asciiTheme="minorHAnsi" w:hAnsiTheme="minorHAnsi"/>
          <w:b/>
          <w:bCs/>
        </w:rPr>
      </w:pPr>
      <w:r w:rsidRPr="009C7EDB">
        <w:rPr>
          <w:rFonts w:asciiTheme="minorHAnsi" w:hAnsiTheme="minorHAnsi"/>
        </w:rPr>
        <w:t xml:space="preserve">Poszczególne warstwy muszą posiadać barwę pochodzącą od koloru zastosowanego granulatu EPDM i kompatybilnego z nim kolorem systemu PUR. </w:t>
      </w:r>
      <w:r w:rsidRPr="009C7EDB">
        <w:rPr>
          <w:rFonts w:asciiTheme="minorHAnsi" w:hAnsiTheme="minorHAnsi"/>
          <w:b/>
          <w:bCs/>
        </w:rPr>
        <w:t xml:space="preserve">Grubości warstw i komponenty muszą być potwierdzone w kompletnym raporcie wydanym przez akredytowane przez WA/IAAF laboratorium w celu uzyskania certyfikatu produktowego </w:t>
      </w:r>
      <w:proofErr w:type="spellStart"/>
      <w:r w:rsidRPr="009C7EDB">
        <w:rPr>
          <w:rFonts w:asciiTheme="minorHAnsi" w:hAnsiTheme="minorHAnsi"/>
          <w:b/>
          <w:bCs/>
        </w:rPr>
        <w:t>tzw</w:t>
      </w:r>
      <w:proofErr w:type="spellEnd"/>
      <w:r w:rsidRPr="009C7EDB">
        <w:rPr>
          <w:rFonts w:asciiTheme="minorHAnsi" w:hAnsiTheme="minorHAnsi"/>
          <w:b/>
          <w:bCs/>
        </w:rPr>
        <w:t xml:space="preserve">: „Product </w:t>
      </w:r>
      <w:proofErr w:type="spellStart"/>
      <w:r w:rsidRPr="009C7EDB">
        <w:rPr>
          <w:rFonts w:asciiTheme="minorHAnsi" w:hAnsiTheme="minorHAnsi"/>
          <w:b/>
          <w:bCs/>
        </w:rPr>
        <w:t>Certificate</w:t>
      </w:r>
      <w:proofErr w:type="spellEnd"/>
      <w:r w:rsidRPr="009C7EDB">
        <w:rPr>
          <w:rFonts w:asciiTheme="minorHAnsi" w:hAnsiTheme="minorHAnsi"/>
          <w:b/>
          <w:bCs/>
        </w:rPr>
        <w:t>”.</w:t>
      </w:r>
    </w:p>
    <w:p w:rsidR="00630921" w:rsidRPr="009C7EDB" w:rsidRDefault="00630921" w:rsidP="00630921">
      <w:pPr>
        <w:ind w:left="284"/>
        <w:jc w:val="both"/>
        <w:rPr>
          <w:rFonts w:asciiTheme="minorHAnsi" w:hAnsiTheme="minorHAnsi"/>
          <w:b/>
          <w:bCs/>
        </w:rPr>
      </w:pPr>
      <w:r w:rsidRPr="009C7EDB">
        <w:rPr>
          <w:rFonts w:asciiTheme="minorHAnsi" w:hAnsiTheme="minorHAnsi"/>
          <w:b/>
          <w:bCs/>
        </w:rPr>
        <w:t>Nawierzchnia nie może posiadać w swoim składzie komponentów z recyklingu oraz materiałów prefabrykowanych.</w:t>
      </w:r>
    </w:p>
    <w:p w:rsidR="00630921" w:rsidRPr="009C7EDB" w:rsidRDefault="00630921" w:rsidP="00630921">
      <w:pPr>
        <w:ind w:left="284"/>
        <w:jc w:val="both"/>
        <w:rPr>
          <w:rFonts w:asciiTheme="minorHAnsi" w:hAnsiTheme="minorHAnsi"/>
          <w:b/>
          <w:bCs/>
          <w:i/>
          <w:iCs/>
        </w:rPr>
      </w:pPr>
      <w:r w:rsidRPr="009C7EDB">
        <w:rPr>
          <w:rFonts w:asciiTheme="minorHAnsi" w:hAnsiTheme="minorHAnsi"/>
          <w:b/>
          <w:bCs/>
        </w:rPr>
        <w:t>Nie dopuszcza się, w żadnej warstwie nawierzchni zastosowania granulatu butylowego ani granulatu SBR z produkcji pierwotnej ani z recyklingu lub barwionych w masie i powlekanych powierzchniowo, oraz EPDM z recyklingu.</w:t>
      </w:r>
    </w:p>
    <w:p w:rsidR="00630921" w:rsidRPr="009C7EDB" w:rsidRDefault="00630921" w:rsidP="00630921">
      <w:pPr>
        <w:ind w:left="284"/>
        <w:jc w:val="both"/>
        <w:rPr>
          <w:rFonts w:asciiTheme="minorHAnsi" w:hAnsiTheme="minorHAnsi"/>
        </w:rPr>
      </w:pPr>
      <w:r w:rsidRPr="009C7EDB">
        <w:rPr>
          <w:rFonts w:asciiTheme="minorHAnsi" w:hAnsiTheme="minorHAnsi"/>
        </w:rPr>
        <w:t xml:space="preserve">Nawierzchnia zainstalowana zgodnie z zaleceniami dzięki swojej strukturze jest odpowiednio </w:t>
      </w:r>
      <w:proofErr w:type="spellStart"/>
      <w:r w:rsidRPr="009C7EDB">
        <w:rPr>
          <w:rFonts w:asciiTheme="minorHAnsi" w:hAnsiTheme="minorHAnsi"/>
        </w:rPr>
        <w:t>przyspojona</w:t>
      </w:r>
      <w:proofErr w:type="spellEnd"/>
      <w:r w:rsidRPr="009C7EDB">
        <w:rPr>
          <w:rFonts w:asciiTheme="minorHAnsi" w:hAnsiTheme="minorHAnsi"/>
        </w:rPr>
        <w:t xml:space="preserve"> do podbudowy, nie odrywa się od niej, a jej wierzchnia warstwa użytkowa jest odporna na kolce lekkoatletyczne i zapewnia przez wiele lat możliwość użytkowania obiektu bez potrzeby renowacji czy wymiany.</w:t>
      </w:r>
    </w:p>
    <w:p w:rsidR="00630921" w:rsidRPr="009C7EDB" w:rsidRDefault="00630921" w:rsidP="00630921">
      <w:pPr>
        <w:ind w:left="284"/>
        <w:jc w:val="both"/>
        <w:rPr>
          <w:rFonts w:asciiTheme="minorHAnsi" w:hAnsiTheme="minorHAnsi"/>
          <w:b/>
          <w:bCs/>
        </w:rPr>
      </w:pPr>
      <w:r w:rsidRPr="009C7EDB">
        <w:rPr>
          <w:rFonts w:asciiTheme="minorHAnsi" w:hAnsiTheme="minorHAnsi"/>
          <w:b/>
          <w:bCs/>
        </w:rPr>
        <w:t>W stosunku do nawierzchni dodatkowo wymaga się, aby producent posiadał wdrożony system zarządzania jakością zgodnie z EN ISO 9001.</w:t>
      </w:r>
    </w:p>
    <w:p w:rsidR="00630921" w:rsidRPr="009C7EDB" w:rsidRDefault="00630921" w:rsidP="00630921">
      <w:pPr>
        <w:ind w:left="284"/>
        <w:jc w:val="both"/>
        <w:rPr>
          <w:rFonts w:asciiTheme="minorHAnsi" w:hAnsiTheme="minorHAnsi"/>
        </w:rPr>
      </w:pPr>
      <w:r w:rsidRPr="009C7EDB">
        <w:rPr>
          <w:rFonts w:asciiTheme="minorHAnsi" w:hAnsiTheme="minorHAnsi"/>
        </w:rPr>
        <w:t>Nawierzchnia powinna być przyjazna dla środowiska oraz użytkowników i spełniać określone wymagania w zakresie zawartości metali ciężkich oraz w zakresie zawartości Wielopierścieniowych Węglowodorów Aromatycznych (WWA), związki zawarte w użytkowej warstwie produktu powinny spełniać dopuszczalne limity wartości WWA według obowiązujących ogólnoeuropejskich wymagań REACH. W związku z dużą różnicą temperatur występującą w Polsce, nawierzchnia powinna być odporna na działanie mrozu (mrozoodporność/ odporność na zamrażanie).</w:t>
      </w:r>
    </w:p>
    <w:p w:rsidR="00630921" w:rsidRPr="009C7EDB" w:rsidRDefault="00630921" w:rsidP="00630921">
      <w:pPr>
        <w:ind w:left="284"/>
        <w:jc w:val="both"/>
        <w:rPr>
          <w:rFonts w:asciiTheme="minorHAnsi" w:hAnsiTheme="minorHAnsi"/>
          <w:b/>
          <w:bCs/>
        </w:rPr>
      </w:pPr>
      <w:bookmarkStart w:id="3" w:name="_Hlk64030338"/>
      <w:r w:rsidRPr="009C7EDB">
        <w:rPr>
          <w:rFonts w:asciiTheme="minorHAnsi" w:hAnsiTheme="minorHAnsi"/>
        </w:rPr>
        <w:t xml:space="preserve">Dodatkowo wymaga się aby nawierzchnia zastosowana na przedmiotowym  obiekcie była zainstalowana na co najmniej dwóch stadionach wykonanych w warunkach klimatycznych zbliżonych do panujących w Polsce, posiadających certyfikat World </w:t>
      </w:r>
      <w:proofErr w:type="spellStart"/>
      <w:r w:rsidRPr="009C7EDB">
        <w:rPr>
          <w:rFonts w:asciiTheme="minorHAnsi" w:hAnsiTheme="minorHAnsi"/>
        </w:rPr>
        <w:t>Athletics</w:t>
      </w:r>
      <w:proofErr w:type="spellEnd"/>
      <w:r w:rsidRPr="009C7EDB">
        <w:rPr>
          <w:rFonts w:asciiTheme="minorHAnsi" w:hAnsiTheme="minorHAnsi"/>
        </w:rPr>
        <w:t xml:space="preserve"> (IAAF) Class 1.</w:t>
      </w:r>
    </w:p>
    <w:p w:rsidR="00630921" w:rsidRPr="009C7EDB" w:rsidRDefault="00630921" w:rsidP="00630921">
      <w:pPr>
        <w:spacing w:before="240"/>
        <w:jc w:val="both"/>
        <w:rPr>
          <w:rFonts w:asciiTheme="minorHAnsi" w:hAnsiTheme="minorHAnsi"/>
          <w:b/>
          <w:bCs/>
          <w:i/>
          <w:iCs/>
        </w:rPr>
      </w:pPr>
      <w:bookmarkStart w:id="4" w:name="_Hlk57884350"/>
      <w:bookmarkEnd w:id="3"/>
      <w:r w:rsidRPr="009C7EDB">
        <w:rPr>
          <w:rFonts w:asciiTheme="minorHAnsi" w:hAnsiTheme="minorHAnsi"/>
          <w:b/>
          <w:bCs/>
        </w:rPr>
        <w:t>Bezwzględnie konieczne jest wykonanie powykonawczych badań parametrów dynamicznych zastosowanej nawierzchni</w:t>
      </w:r>
      <w:r w:rsidRPr="009C7EDB">
        <w:rPr>
          <w:rFonts w:asciiTheme="minorHAnsi" w:hAnsiTheme="minorHAnsi"/>
          <w:b/>
          <w:bCs/>
          <w:i/>
          <w:iCs/>
        </w:rPr>
        <w:t>.</w:t>
      </w:r>
    </w:p>
    <w:bookmarkEnd w:id="4"/>
    <w:p w:rsidR="00630921" w:rsidRPr="009C7EDB" w:rsidRDefault="00630921" w:rsidP="00630921">
      <w:pPr>
        <w:spacing w:before="240"/>
        <w:jc w:val="both"/>
        <w:rPr>
          <w:rFonts w:asciiTheme="minorHAnsi" w:hAnsiTheme="minorHAnsi"/>
          <w:b/>
          <w:bCs/>
          <w:iCs/>
        </w:rPr>
      </w:pPr>
      <w:r w:rsidRPr="009C7EDB">
        <w:rPr>
          <w:rFonts w:asciiTheme="minorHAnsi" w:hAnsiTheme="minorHAnsi"/>
          <w:b/>
          <w:bCs/>
          <w:iCs/>
        </w:rPr>
        <w:lastRenderedPageBreak/>
        <w:t>Oferowana nawierzchnia powinna mieć parametry mieszczące się w przedziałach określonych poniżej:</w:t>
      </w:r>
    </w:p>
    <w:p w:rsidR="00630921" w:rsidRPr="009C7EDB" w:rsidRDefault="00630921" w:rsidP="00630921">
      <w:pPr>
        <w:numPr>
          <w:ilvl w:val="0"/>
          <w:numId w:val="1"/>
        </w:numPr>
        <w:ind w:left="993" w:hanging="284"/>
        <w:jc w:val="both"/>
        <w:rPr>
          <w:rFonts w:asciiTheme="minorHAnsi" w:hAnsiTheme="minorHAnsi"/>
        </w:rPr>
      </w:pPr>
      <w:r w:rsidRPr="009C7EDB">
        <w:rPr>
          <w:rFonts w:asciiTheme="minorHAnsi" w:hAnsiTheme="minorHAnsi"/>
        </w:rPr>
        <w:t>Grubość nawierzchni min 14 [mm]</w:t>
      </w:r>
    </w:p>
    <w:p w:rsidR="00630921" w:rsidRPr="009C7EDB" w:rsidRDefault="00630921" w:rsidP="00630921">
      <w:pPr>
        <w:numPr>
          <w:ilvl w:val="0"/>
          <w:numId w:val="1"/>
        </w:numPr>
        <w:ind w:left="993" w:hanging="284"/>
        <w:jc w:val="both"/>
        <w:rPr>
          <w:rFonts w:asciiTheme="minorHAnsi" w:hAnsiTheme="minorHAnsi"/>
        </w:rPr>
      </w:pPr>
      <w:r w:rsidRPr="009C7EDB">
        <w:rPr>
          <w:rFonts w:asciiTheme="minorHAnsi" w:hAnsiTheme="minorHAnsi"/>
        </w:rPr>
        <w:t>Grubość górnej warstwy użytkowej min 4 [mm]</w:t>
      </w:r>
    </w:p>
    <w:p w:rsidR="00630921" w:rsidRPr="009C7EDB" w:rsidRDefault="00630921" w:rsidP="00630921">
      <w:pPr>
        <w:numPr>
          <w:ilvl w:val="0"/>
          <w:numId w:val="1"/>
        </w:numPr>
        <w:ind w:left="993" w:hanging="284"/>
        <w:jc w:val="both"/>
        <w:rPr>
          <w:rFonts w:asciiTheme="minorHAnsi" w:hAnsiTheme="minorHAnsi"/>
        </w:rPr>
      </w:pPr>
      <w:r w:rsidRPr="009C7EDB">
        <w:rPr>
          <w:rFonts w:asciiTheme="minorHAnsi" w:hAnsiTheme="minorHAnsi"/>
        </w:rPr>
        <w:t>Wytrzymałość na rozciąganie: od 0.59 do 0.75 [</w:t>
      </w:r>
      <w:proofErr w:type="spellStart"/>
      <w:r w:rsidRPr="009C7EDB">
        <w:rPr>
          <w:rFonts w:asciiTheme="minorHAnsi" w:hAnsiTheme="minorHAnsi"/>
        </w:rPr>
        <w:t>MPa</w:t>
      </w:r>
      <w:proofErr w:type="spellEnd"/>
      <w:r w:rsidRPr="009C7EDB">
        <w:rPr>
          <w:rFonts w:asciiTheme="minorHAnsi" w:hAnsiTheme="minorHAnsi"/>
        </w:rPr>
        <w:t>]</w:t>
      </w:r>
    </w:p>
    <w:p w:rsidR="00630921" w:rsidRPr="009C7EDB" w:rsidRDefault="00630921" w:rsidP="00630921">
      <w:pPr>
        <w:numPr>
          <w:ilvl w:val="0"/>
          <w:numId w:val="1"/>
        </w:numPr>
        <w:ind w:left="993" w:hanging="284"/>
        <w:jc w:val="both"/>
        <w:rPr>
          <w:rFonts w:asciiTheme="minorHAnsi" w:hAnsiTheme="minorHAnsi"/>
        </w:rPr>
      </w:pPr>
      <w:r w:rsidRPr="009C7EDB">
        <w:rPr>
          <w:rFonts w:asciiTheme="minorHAnsi" w:hAnsiTheme="minorHAnsi"/>
        </w:rPr>
        <w:t>Wydłużenie w chwili zerwania: od 43 do 68 [%]</w:t>
      </w:r>
    </w:p>
    <w:p w:rsidR="00630921" w:rsidRPr="009C7EDB" w:rsidRDefault="00630921" w:rsidP="00630921">
      <w:pPr>
        <w:numPr>
          <w:ilvl w:val="0"/>
          <w:numId w:val="1"/>
        </w:numPr>
        <w:ind w:left="993" w:hanging="284"/>
        <w:jc w:val="both"/>
        <w:rPr>
          <w:rFonts w:asciiTheme="minorHAnsi" w:hAnsiTheme="minorHAnsi"/>
        </w:rPr>
      </w:pPr>
      <w:r w:rsidRPr="009C7EDB">
        <w:rPr>
          <w:rFonts w:asciiTheme="minorHAnsi" w:hAnsiTheme="minorHAnsi"/>
        </w:rPr>
        <w:t>Redukcja siły w temp 23 ºC: od 35 do 37 [%]</w:t>
      </w:r>
    </w:p>
    <w:p w:rsidR="00630921" w:rsidRPr="009C7EDB" w:rsidRDefault="00630921" w:rsidP="00630921">
      <w:pPr>
        <w:numPr>
          <w:ilvl w:val="0"/>
          <w:numId w:val="1"/>
        </w:numPr>
        <w:ind w:left="993" w:hanging="284"/>
        <w:jc w:val="both"/>
        <w:rPr>
          <w:rFonts w:asciiTheme="minorHAnsi" w:hAnsiTheme="minorHAnsi"/>
        </w:rPr>
      </w:pPr>
      <w:r w:rsidRPr="009C7EDB">
        <w:rPr>
          <w:rFonts w:asciiTheme="minorHAnsi" w:hAnsiTheme="minorHAnsi"/>
        </w:rPr>
        <w:t>Odkształcenie pionowe w temp. 23ºC: od 1.7 do 1.9 [mm]</w:t>
      </w:r>
    </w:p>
    <w:p w:rsidR="00630921" w:rsidRPr="009C7EDB" w:rsidRDefault="00630921" w:rsidP="00630921">
      <w:pPr>
        <w:numPr>
          <w:ilvl w:val="0"/>
          <w:numId w:val="1"/>
        </w:numPr>
        <w:ind w:left="993" w:hanging="284"/>
        <w:jc w:val="both"/>
        <w:rPr>
          <w:rFonts w:asciiTheme="minorHAnsi" w:hAnsiTheme="minorHAnsi"/>
        </w:rPr>
      </w:pPr>
      <w:r w:rsidRPr="009C7EDB">
        <w:rPr>
          <w:rFonts w:asciiTheme="minorHAnsi" w:hAnsiTheme="minorHAnsi"/>
        </w:rPr>
        <w:t>Współczynnik tarcia TRRL od 47 – 55</w:t>
      </w:r>
    </w:p>
    <w:p w:rsidR="00630921" w:rsidRPr="009C7EDB" w:rsidRDefault="00630921" w:rsidP="00630921">
      <w:pPr>
        <w:numPr>
          <w:ilvl w:val="0"/>
          <w:numId w:val="1"/>
        </w:numPr>
        <w:ind w:left="993" w:hanging="284"/>
        <w:jc w:val="both"/>
        <w:rPr>
          <w:rFonts w:asciiTheme="minorHAnsi" w:hAnsiTheme="minorHAnsi"/>
        </w:rPr>
      </w:pPr>
      <w:r w:rsidRPr="009C7EDB">
        <w:rPr>
          <w:rFonts w:asciiTheme="minorHAnsi" w:hAnsiTheme="minorHAnsi"/>
        </w:rPr>
        <w:t>Mrozoodporność/zmiana masy po badaniu: max 0,1 %</w:t>
      </w:r>
    </w:p>
    <w:p w:rsidR="00630921" w:rsidRPr="009C7EDB" w:rsidRDefault="00630921" w:rsidP="00630921">
      <w:pPr>
        <w:numPr>
          <w:ilvl w:val="0"/>
          <w:numId w:val="1"/>
        </w:numPr>
        <w:ind w:left="993" w:hanging="284"/>
        <w:jc w:val="both"/>
        <w:rPr>
          <w:rFonts w:asciiTheme="minorHAnsi" w:hAnsiTheme="minorHAnsi"/>
        </w:rPr>
      </w:pPr>
      <w:r w:rsidRPr="009C7EDB">
        <w:rPr>
          <w:rFonts w:asciiTheme="minorHAnsi" w:hAnsiTheme="minorHAnsi"/>
        </w:rPr>
        <w:t>Mrozoodporność/zmiana wyglądu zewnętrznego: bez zmian</w:t>
      </w:r>
    </w:p>
    <w:p w:rsidR="00630921" w:rsidRPr="009C7EDB" w:rsidRDefault="00630921" w:rsidP="00630921">
      <w:pPr>
        <w:spacing w:before="240" w:after="240"/>
        <w:jc w:val="both"/>
        <w:rPr>
          <w:rFonts w:asciiTheme="minorHAnsi" w:hAnsiTheme="minorHAnsi"/>
          <w:b/>
          <w:bCs/>
        </w:rPr>
      </w:pPr>
      <w:r w:rsidRPr="009C7EDB">
        <w:rPr>
          <w:rFonts w:asciiTheme="minorHAnsi" w:hAnsiTheme="minorHAnsi"/>
          <w:b/>
          <w:bCs/>
        </w:rPr>
        <w:t>Nawierzchnia powinna być przyjazna dla otoczenia i ludzi korzystających z niej, a zawartość związków chemicznych nie może być większa niż opisana w tabeli poniżej:</w:t>
      </w:r>
    </w:p>
    <w:tbl>
      <w:tblPr>
        <w:tblW w:w="6802" w:type="dxa"/>
        <w:tblInd w:w="38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600" w:firstRow="0" w:lastRow="0" w:firstColumn="0" w:lastColumn="0" w:noHBand="1" w:noVBand="1"/>
      </w:tblPr>
      <w:tblGrid>
        <w:gridCol w:w="2975"/>
        <w:gridCol w:w="3827"/>
      </w:tblGrid>
      <w:tr w:rsidR="009C7EDB" w:rsidRPr="009C7EDB" w:rsidTr="00D03F8C">
        <w:trPr>
          <w:trHeight w:val="345"/>
        </w:trPr>
        <w:tc>
          <w:tcPr>
            <w:tcW w:w="2975"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center"/>
              <w:rPr>
                <w:rFonts w:asciiTheme="minorHAnsi" w:hAnsiTheme="minorHAnsi"/>
                <w:b/>
              </w:rPr>
            </w:pPr>
            <w:r w:rsidRPr="009C7EDB">
              <w:rPr>
                <w:rFonts w:asciiTheme="minorHAnsi" w:hAnsiTheme="minorHAnsi"/>
                <w:b/>
              </w:rPr>
              <w:t>parametr</w:t>
            </w:r>
          </w:p>
        </w:tc>
        <w:tc>
          <w:tcPr>
            <w:tcW w:w="3827"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center"/>
              <w:rPr>
                <w:rFonts w:asciiTheme="minorHAnsi" w:hAnsiTheme="minorHAnsi"/>
                <w:b/>
              </w:rPr>
            </w:pPr>
            <w:r w:rsidRPr="009C7EDB">
              <w:rPr>
                <w:rFonts w:asciiTheme="minorHAnsi" w:hAnsiTheme="minorHAnsi"/>
                <w:b/>
              </w:rPr>
              <w:t>wartości w [mg/l]</w:t>
            </w:r>
          </w:p>
        </w:tc>
      </w:tr>
      <w:tr w:rsidR="009C7EDB" w:rsidRPr="009C7EDB" w:rsidTr="00D03F8C">
        <w:trPr>
          <w:trHeight w:val="533"/>
        </w:trPr>
        <w:tc>
          <w:tcPr>
            <w:tcW w:w="2975"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DOC - po 24 godzinach</w:t>
            </w:r>
          </w:p>
        </w:tc>
        <w:tc>
          <w:tcPr>
            <w:tcW w:w="3827" w:type="dxa"/>
            <w:tcMar>
              <w:top w:w="100" w:type="dxa"/>
              <w:left w:w="100" w:type="dxa"/>
              <w:bottom w:w="100" w:type="dxa"/>
              <w:right w:w="100" w:type="dxa"/>
            </w:tcMar>
          </w:tcPr>
          <w:p w:rsidR="00630921" w:rsidRPr="009C7EDB" w:rsidRDefault="00630921" w:rsidP="00D03F8C">
            <w:pPr>
              <w:spacing w:before="20" w:after="240"/>
              <w:jc w:val="both"/>
              <w:rPr>
                <w:rFonts w:asciiTheme="minorHAnsi" w:hAnsiTheme="minorHAnsi"/>
              </w:rPr>
            </w:pPr>
            <w:r w:rsidRPr="009C7EDB">
              <w:rPr>
                <w:rFonts w:asciiTheme="minorHAnsi" w:hAnsiTheme="minorHAnsi"/>
              </w:rPr>
              <w:t>≤ 37</w:t>
            </w:r>
            <w:r w:rsidRPr="009C7EDB">
              <w:rPr>
                <w:rFonts w:asciiTheme="minorHAnsi" w:hAnsiTheme="minorHAnsi"/>
              </w:rPr>
              <w:tab/>
            </w:r>
          </w:p>
        </w:tc>
      </w:tr>
      <w:tr w:rsidR="009C7EDB" w:rsidRPr="009C7EDB" w:rsidTr="00D03F8C">
        <w:trPr>
          <w:trHeight w:val="360"/>
        </w:trPr>
        <w:tc>
          <w:tcPr>
            <w:tcW w:w="2975"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ołów (Pb)</w:t>
            </w:r>
          </w:p>
        </w:tc>
        <w:tc>
          <w:tcPr>
            <w:tcW w:w="3827"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0,001</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9C7EDB" w:rsidRPr="009C7EDB" w:rsidTr="00D03F8C">
        <w:trPr>
          <w:trHeight w:val="390"/>
        </w:trPr>
        <w:tc>
          <w:tcPr>
            <w:tcW w:w="2975"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kadm (Cd)</w:t>
            </w:r>
          </w:p>
        </w:tc>
        <w:tc>
          <w:tcPr>
            <w:tcW w:w="3827"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0,0002</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9C7EDB" w:rsidRPr="009C7EDB" w:rsidTr="00D03F8C">
        <w:trPr>
          <w:trHeight w:val="360"/>
        </w:trPr>
        <w:tc>
          <w:tcPr>
            <w:tcW w:w="2975"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chrom (Cr)</w:t>
            </w:r>
          </w:p>
        </w:tc>
        <w:tc>
          <w:tcPr>
            <w:tcW w:w="3827"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0,001</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9C7EDB" w:rsidRPr="009C7EDB" w:rsidTr="00D03F8C">
        <w:trPr>
          <w:trHeight w:val="315"/>
        </w:trPr>
        <w:tc>
          <w:tcPr>
            <w:tcW w:w="2975"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chrom VI (</w:t>
            </w:r>
            <w:proofErr w:type="spellStart"/>
            <w:r w:rsidRPr="009C7EDB">
              <w:rPr>
                <w:rFonts w:asciiTheme="minorHAnsi" w:hAnsiTheme="minorHAnsi"/>
              </w:rPr>
              <w:t>CrVI</w:t>
            </w:r>
            <w:proofErr w:type="spellEnd"/>
            <w:r w:rsidRPr="009C7EDB">
              <w:rPr>
                <w:rFonts w:asciiTheme="minorHAnsi" w:hAnsiTheme="minorHAnsi"/>
              </w:rPr>
              <w:t>)</w:t>
            </w:r>
          </w:p>
        </w:tc>
        <w:tc>
          <w:tcPr>
            <w:tcW w:w="3827"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0,008</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9C7EDB" w:rsidRPr="009C7EDB" w:rsidTr="00D03F8C">
        <w:trPr>
          <w:trHeight w:val="405"/>
        </w:trPr>
        <w:tc>
          <w:tcPr>
            <w:tcW w:w="2975"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rtęć (Hg)</w:t>
            </w:r>
          </w:p>
        </w:tc>
        <w:tc>
          <w:tcPr>
            <w:tcW w:w="3827"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0,001</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9C7EDB" w:rsidRPr="009C7EDB" w:rsidTr="00D03F8C">
        <w:trPr>
          <w:trHeight w:val="372"/>
        </w:trPr>
        <w:tc>
          <w:tcPr>
            <w:tcW w:w="2975"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cynk (Zn)</w:t>
            </w:r>
          </w:p>
        </w:tc>
        <w:tc>
          <w:tcPr>
            <w:tcW w:w="3827"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 0,5</w:t>
            </w:r>
            <w:r w:rsidRPr="009C7EDB">
              <w:rPr>
                <w:rFonts w:asciiTheme="minorHAnsi" w:hAnsiTheme="minorHAnsi"/>
              </w:rPr>
              <w:tab/>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630921" w:rsidRPr="009C7EDB" w:rsidTr="00D03F8C">
        <w:trPr>
          <w:trHeight w:val="315"/>
        </w:trPr>
        <w:tc>
          <w:tcPr>
            <w:tcW w:w="2975"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cyna (Sn)</w:t>
            </w:r>
          </w:p>
        </w:tc>
        <w:tc>
          <w:tcPr>
            <w:tcW w:w="3827" w:type="dxa"/>
            <w:tcMar>
              <w:top w:w="100" w:type="dxa"/>
              <w:left w:w="100" w:type="dxa"/>
              <w:bottom w:w="100" w:type="dxa"/>
              <w:right w:w="100" w:type="dxa"/>
            </w:tcMar>
          </w:tcPr>
          <w:p w:rsidR="00630921" w:rsidRPr="009C7EDB" w:rsidRDefault="00630921" w:rsidP="00D03F8C">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0,02</w:t>
            </w:r>
            <w:r w:rsidRPr="009C7EDB">
              <w:rPr>
                <w:rFonts w:asciiTheme="minorHAnsi" w:hAnsiTheme="minorHAnsi"/>
              </w:rPr>
              <w:tab/>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bl>
    <w:p w:rsidR="00630921" w:rsidRPr="009C7EDB" w:rsidRDefault="00630921" w:rsidP="00630921">
      <w:pPr>
        <w:jc w:val="both"/>
        <w:rPr>
          <w:rFonts w:asciiTheme="minorHAnsi" w:hAnsiTheme="minorHAnsi"/>
          <w:b/>
          <w:bCs/>
          <w:szCs w:val="24"/>
        </w:rPr>
      </w:pPr>
    </w:p>
    <w:p w:rsidR="00087E1D" w:rsidRPr="009C7EDB" w:rsidRDefault="00087E1D" w:rsidP="00087E1D">
      <w:pPr>
        <w:pStyle w:val="Akapitzlist"/>
        <w:ind w:left="709"/>
        <w:jc w:val="both"/>
        <w:rPr>
          <w:rFonts w:asciiTheme="minorHAnsi" w:hAnsiTheme="minorHAnsi"/>
          <w:b/>
        </w:rPr>
      </w:pPr>
    </w:p>
    <w:p w:rsidR="009807A3" w:rsidRPr="009C7EDB" w:rsidRDefault="009807A3" w:rsidP="009807A3">
      <w:pPr>
        <w:pStyle w:val="Akapitzlist"/>
        <w:numPr>
          <w:ilvl w:val="1"/>
          <w:numId w:val="14"/>
        </w:numPr>
        <w:ind w:left="709" w:hanging="425"/>
        <w:jc w:val="both"/>
        <w:rPr>
          <w:rFonts w:asciiTheme="minorHAnsi" w:hAnsiTheme="minorHAnsi"/>
          <w:b/>
        </w:rPr>
      </w:pPr>
      <w:r w:rsidRPr="009C7EDB">
        <w:rPr>
          <w:rFonts w:asciiTheme="minorHAnsi" w:hAnsiTheme="minorHAnsi"/>
          <w:b/>
          <w:bCs/>
        </w:rPr>
        <w:t>Przedmiot zamówienia obejmuje dodatkowo:</w:t>
      </w:r>
    </w:p>
    <w:p w:rsidR="009807A3" w:rsidRPr="009C7EDB" w:rsidRDefault="009807A3" w:rsidP="009807A3">
      <w:pPr>
        <w:pStyle w:val="Akapitzlist"/>
        <w:ind w:left="709"/>
        <w:jc w:val="both"/>
        <w:rPr>
          <w:rFonts w:asciiTheme="minorHAnsi" w:hAnsiTheme="minorHAnsi"/>
          <w:b/>
        </w:rPr>
      </w:pPr>
    </w:p>
    <w:p w:rsidR="009807A3" w:rsidRPr="009C7EDB" w:rsidRDefault="009807A3" w:rsidP="009807A3">
      <w:pPr>
        <w:numPr>
          <w:ilvl w:val="0"/>
          <w:numId w:val="9"/>
        </w:numPr>
        <w:jc w:val="both"/>
        <w:rPr>
          <w:rFonts w:asciiTheme="minorHAnsi" w:hAnsiTheme="minorHAnsi"/>
          <w:bCs/>
          <w:spacing w:val="-2"/>
          <w:szCs w:val="24"/>
        </w:rPr>
      </w:pPr>
      <w:r w:rsidRPr="009C7EDB">
        <w:rPr>
          <w:rFonts w:asciiTheme="minorHAnsi" w:hAnsiTheme="minorHAnsi"/>
          <w:bCs/>
          <w:spacing w:val="-2"/>
          <w:szCs w:val="24"/>
        </w:rPr>
        <w:t xml:space="preserve">W celu umożliwienia bezkolizyjnego montażu między innymi instalacji osprzętu pomiarowego wykorzystywanego podczas zawodów (elektroniczne tablice informacyjne, systemy nagłośnieniowe, systemy zasilające itp.), wykonawca zobowiązany jest </w:t>
      </w:r>
      <w:r w:rsidRPr="009C7EDB">
        <w:rPr>
          <w:rFonts w:asciiTheme="minorHAnsi" w:hAnsiTheme="minorHAnsi"/>
          <w:b/>
          <w:bCs/>
          <w:spacing w:val="-2"/>
          <w:szCs w:val="24"/>
        </w:rPr>
        <w:t>wykonać studzienki przyłączeniowe</w:t>
      </w:r>
      <w:r w:rsidRPr="009C7EDB">
        <w:rPr>
          <w:rFonts w:asciiTheme="minorHAnsi" w:hAnsiTheme="minorHAnsi"/>
          <w:bCs/>
          <w:spacing w:val="-2"/>
          <w:szCs w:val="24"/>
        </w:rPr>
        <w:t xml:space="preserve"> wraz z orurowaniem umożliwiającym przeciągnięcie odpowiednich kabli w kilku lokalizacjach stadionu. Studzienki rozdzielcze typu teletechnicznego, przeznaczone do stosowania w nawierzchniach sportowych o wymiarach zewnętrznych ok. 0,60 x 0,60 x 0,32 m. Studzienki systemowe, zabezpieczone stalową ramą. Pokrywy na zawiasach z możliwością zablokowania w pozycji uchylonej. Pokrywy z możliwością wykonania </w:t>
      </w:r>
      <w:r w:rsidRPr="009C7EDB">
        <w:rPr>
          <w:rFonts w:asciiTheme="minorHAnsi" w:hAnsiTheme="minorHAnsi"/>
          <w:bCs/>
          <w:spacing w:val="-2"/>
          <w:szCs w:val="24"/>
        </w:rPr>
        <w:lastRenderedPageBreak/>
        <w:t>wierzchniej warstwy syntetycznej o grubości 13 ÷ 20 mm w kolorze nawierzchni stadionu.</w:t>
      </w:r>
    </w:p>
    <w:p w:rsidR="009807A3" w:rsidRPr="009C7EDB" w:rsidRDefault="009807A3" w:rsidP="009807A3">
      <w:pPr>
        <w:numPr>
          <w:ilvl w:val="0"/>
          <w:numId w:val="9"/>
        </w:numPr>
        <w:jc w:val="both"/>
        <w:rPr>
          <w:rFonts w:asciiTheme="minorHAnsi" w:hAnsiTheme="minorHAnsi"/>
          <w:bCs/>
          <w:spacing w:val="-2"/>
          <w:szCs w:val="24"/>
        </w:rPr>
      </w:pPr>
      <w:r w:rsidRPr="009C7EDB">
        <w:rPr>
          <w:rFonts w:asciiTheme="minorHAnsi" w:hAnsiTheme="minorHAnsi"/>
          <w:bCs/>
          <w:spacing w:val="-2"/>
          <w:szCs w:val="24"/>
        </w:rPr>
        <w:t>Do obowiązków wykonawcy należy dodatkowo:</w:t>
      </w:r>
      <w:r w:rsidRPr="009C7EDB">
        <w:rPr>
          <w:rFonts w:asciiTheme="minorHAnsi" w:hAnsiTheme="minorHAnsi"/>
          <w:bCs/>
        </w:rPr>
        <w:t xml:space="preserve"> </w:t>
      </w:r>
    </w:p>
    <w:p w:rsidR="009807A3" w:rsidRPr="009C7EDB" w:rsidRDefault="009807A3" w:rsidP="00D94A69">
      <w:pPr>
        <w:numPr>
          <w:ilvl w:val="0"/>
          <w:numId w:val="3"/>
        </w:numPr>
        <w:ind w:left="1134" w:hanging="425"/>
        <w:jc w:val="both"/>
        <w:rPr>
          <w:rFonts w:asciiTheme="minorHAnsi" w:hAnsiTheme="minorHAnsi"/>
        </w:rPr>
      </w:pPr>
      <w:r w:rsidRPr="009C7EDB">
        <w:rPr>
          <w:rFonts w:asciiTheme="minorHAnsi" w:hAnsiTheme="minorHAnsi"/>
        </w:rPr>
        <w:t>usunięcie drzew ujętych w dokumentacji PZT wraz z uporządkowaniem terenu;</w:t>
      </w:r>
    </w:p>
    <w:p w:rsidR="009807A3" w:rsidRPr="009C7EDB" w:rsidRDefault="009807A3" w:rsidP="00D94A69">
      <w:pPr>
        <w:numPr>
          <w:ilvl w:val="0"/>
          <w:numId w:val="3"/>
        </w:numPr>
        <w:ind w:left="1134" w:hanging="425"/>
        <w:jc w:val="both"/>
        <w:rPr>
          <w:rFonts w:asciiTheme="minorHAnsi" w:hAnsiTheme="minorHAnsi"/>
        </w:rPr>
      </w:pPr>
      <w:r w:rsidRPr="009C7EDB">
        <w:rPr>
          <w:rFonts w:asciiTheme="minorHAnsi" w:hAnsiTheme="minorHAnsi"/>
        </w:rPr>
        <w:t>usunięcie karp po wyciętych drzewach, znajdujących się na obszarze objętym inwestycją;</w:t>
      </w:r>
    </w:p>
    <w:p w:rsidR="009807A3" w:rsidRPr="009C7EDB" w:rsidRDefault="009807A3" w:rsidP="00D94A69">
      <w:pPr>
        <w:numPr>
          <w:ilvl w:val="0"/>
          <w:numId w:val="3"/>
        </w:numPr>
        <w:ind w:left="1134" w:hanging="425"/>
        <w:jc w:val="both"/>
        <w:rPr>
          <w:rFonts w:asciiTheme="minorHAnsi" w:hAnsiTheme="minorHAnsi"/>
        </w:rPr>
      </w:pPr>
      <w:r w:rsidRPr="009C7EDB">
        <w:rPr>
          <w:rFonts w:asciiTheme="minorHAnsi" w:hAnsiTheme="minorHAnsi"/>
        </w:rPr>
        <w:t>wywóz i utylizację urobku powstałego podczas wycinki;</w:t>
      </w:r>
    </w:p>
    <w:p w:rsidR="006068A5" w:rsidRPr="009C7EDB" w:rsidRDefault="006068A5" w:rsidP="006068A5">
      <w:pPr>
        <w:numPr>
          <w:ilvl w:val="0"/>
          <w:numId w:val="3"/>
        </w:numPr>
        <w:ind w:left="1134" w:hanging="425"/>
        <w:jc w:val="both"/>
        <w:rPr>
          <w:rFonts w:asciiTheme="minorHAnsi" w:hAnsiTheme="minorHAnsi"/>
          <w:b/>
          <w:bCs/>
        </w:rPr>
      </w:pPr>
      <w:r w:rsidRPr="009C7EDB">
        <w:rPr>
          <w:rFonts w:asciiTheme="minorHAnsi" w:hAnsiTheme="minorHAnsi"/>
        </w:rPr>
        <w:t>Wykonawca zobowiązuje się do usunięcia drzew wraz z uporządkowaniem terenu, zagospodarowaniem pozyskanego z wycinki drewna we własnym zakresie</w:t>
      </w:r>
    </w:p>
    <w:p w:rsidR="009807A3" w:rsidRPr="009C7EDB" w:rsidRDefault="009807A3" w:rsidP="00D94A69">
      <w:pPr>
        <w:numPr>
          <w:ilvl w:val="0"/>
          <w:numId w:val="3"/>
        </w:numPr>
        <w:ind w:left="1134" w:hanging="425"/>
        <w:jc w:val="both"/>
        <w:rPr>
          <w:rFonts w:asciiTheme="minorHAnsi" w:hAnsiTheme="minorHAnsi"/>
        </w:rPr>
      </w:pPr>
      <w:r w:rsidRPr="009C7EDB">
        <w:rPr>
          <w:rFonts w:asciiTheme="minorHAnsi" w:hAnsiTheme="minorHAnsi"/>
        </w:rPr>
        <w:t xml:space="preserve">wykonanie </w:t>
      </w:r>
      <w:proofErr w:type="spellStart"/>
      <w:r w:rsidRPr="009C7EDB">
        <w:rPr>
          <w:rFonts w:asciiTheme="minorHAnsi" w:hAnsiTheme="minorHAnsi"/>
        </w:rPr>
        <w:t>nasadzeń</w:t>
      </w:r>
      <w:proofErr w:type="spellEnd"/>
      <w:r w:rsidRPr="009C7EDB">
        <w:rPr>
          <w:rFonts w:asciiTheme="minorHAnsi" w:hAnsiTheme="minorHAnsi"/>
        </w:rPr>
        <w:t xml:space="preserve"> zastępczych. wg wskazań w projekcie (o obwodzie nie mniejszym niż 10-12 cm mierzonym na 100 cm od ziemi);</w:t>
      </w:r>
    </w:p>
    <w:p w:rsidR="009807A3" w:rsidRPr="009C7EDB" w:rsidRDefault="009807A3" w:rsidP="00D94A69">
      <w:pPr>
        <w:numPr>
          <w:ilvl w:val="0"/>
          <w:numId w:val="3"/>
        </w:numPr>
        <w:ind w:left="1134" w:hanging="425"/>
        <w:jc w:val="both"/>
        <w:rPr>
          <w:rFonts w:asciiTheme="minorHAnsi" w:hAnsiTheme="minorHAnsi"/>
        </w:rPr>
      </w:pPr>
      <w:r w:rsidRPr="009C7EDB">
        <w:rPr>
          <w:rFonts w:asciiTheme="minorHAnsi" w:hAnsiTheme="minorHAnsi"/>
        </w:rPr>
        <w:t xml:space="preserve">W okresie gwarancyjnym Wykonawca zapewni pełne uzupełnianie </w:t>
      </w:r>
      <w:proofErr w:type="spellStart"/>
      <w:r w:rsidRPr="009C7EDB">
        <w:rPr>
          <w:rFonts w:asciiTheme="minorHAnsi" w:hAnsiTheme="minorHAnsi"/>
        </w:rPr>
        <w:t>nasadzeń</w:t>
      </w:r>
      <w:proofErr w:type="spellEnd"/>
      <w:r w:rsidRPr="009C7EDB">
        <w:rPr>
          <w:rFonts w:asciiTheme="minorHAnsi" w:hAnsiTheme="minorHAnsi"/>
        </w:rPr>
        <w:t>, które zostały zakwalifikowane jako nieudane na koszt własny;</w:t>
      </w:r>
    </w:p>
    <w:p w:rsidR="009807A3" w:rsidRPr="009C7EDB" w:rsidRDefault="009807A3" w:rsidP="00D94A69">
      <w:pPr>
        <w:numPr>
          <w:ilvl w:val="0"/>
          <w:numId w:val="3"/>
        </w:numPr>
        <w:ind w:left="1134" w:hanging="425"/>
        <w:jc w:val="both"/>
        <w:rPr>
          <w:rFonts w:asciiTheme="minorHAnsi" w:hAnsiTheme="minorHAnsi"/>
        </w:rPr>
      </w:pPr>
      <w:r w:rsidRPr="009C7EDB">
        <w:rPr>
          <w:rFonts w:asciiTheme="minorHAnsi" w:hAnsiTheme="minorHAnsi"/>
        </w:rPr>
        <w:t>wykonanie palikowania drzew nowo nasadzonych. Dla każdego drzewa należy zastosować 3 zaimpregnowane paliki o średnicy 8 cm i wysokości równej wysokości pnia posadzonego drzewa. Paliki należy wbić w glebę na głębokość min. 40 cm, w odpowiedniej odległości od bryły korzeniowej i pod kątem (oddalając wbity palik od bryły korzeniowej).</w:t>
      </w:r>
      <w:r w:rsidR="00F15B40" w:rsidRPr="009C7EDB">
        <w:rPr>
          <w:rFonts w:asciiTheme="minorHAnsi" w:hAnsiTheme="minorHAnsi"/>
        </w:rPr>
        <w:t xml:space="preserve"> </w:t>
      </w:r>
      <w:r w:rsidRPr="009C7EDB">
        <w:rPr>
          <w:rFonts w:asciiTheme="minorHAnsi" w:hAnsiTheme="minorHAnsi"/>
        </w:rPr>
        <w:t>Niezbędne jest odpowiednie mocowanie pnia drzewa do palików taśmą parcianą tzw. ósemkę. Taśma powinna być przybita do jednego z palików za pomocą gwoździa o dużym łebku. Paliki można usunąć dopiero po upływie 2-3 lat. Niezbędne jest dokonanie wizji lokalnej, szczególnie w okresie wegetacyjnym, w celu sprawdzenia, czy taśma nie uszkadza pnia rośliny;</w:t>
      </w:r>
    </w:p>
    <w:p w:rsidR="00F15B40" w:rsidRPr="009C7EDB" w:rsidRDefault="00F15B40" w:rsidP="00F15B40">
      <w:pPr>
        <w:numPr>
          <w:ilvl w:val="0"/>
          <w:numId w:val="3"/>
        </w:numPr>
        <w:ind w:left="1134" w:hanging="425"/>
        <w:jc w:val="both"/>
        <w:rPr>
          <w:rFonts w:asciiTheme="minorHAnsi" w:hAnsiTheme="minorHAnsi"/>
        </w:rPr>
      </w:pPr>
      <w:r w:rsidRPr="009C7EDB">
        <w:rPr>
          <w:rFonts w:asciiTheme="minorHAnsi" w:hAnsiTheme="minorHAnsi"/>
        </w:rPr>
        <w:t>w</w:t>
      </w:r>
      <w:r w:rsidRPr="009C7EDB">
        <w:rPr>
          <w:rFonts w:asciiTheme="minorHAnsi" w:hAnsiTheme="minorHAnsi"/>
          <w:spacing w:val="-2"/>
        </w:rPr>
        <w:t xml:space="preserve">ycinkę drzew, należy wykonać z poszanowaniem występowania gatunków chronionych ptaków, owadów, nietoperzy i grzybów; </w:t>
      </w:r>
      <w:r w:rsidRPr="009C7EDB">
        <w:rPr>
          <w:rFonts w:asciiTheme="minorHAnsi" w:hAnsiTheme="minorHAnsi"/>
          <w:b/>
          <w:spacing w:val="-2"/>
        </w:rPr>
        <w:t>wykonawca musi dysponować osobą uczestniczącą w wykonywaniu zamówienia, posiadającą wykształcenie wyższe w zakresie ochrony środowiska</w:t>
      </w:r>
      <w:r w:rsidRPr="009C7EDB">
        <w:rPr>
          <w:rFonts w:asciiTheme="minorHAnsi" w:hAnsiTheme="minorHAnsi"/>
          <w:spacing w:val="-2"/>
        </w:rPr>
        <w:t xml:space="preserve"> lub biologii lub leśnictwa, która przed przystąpieniem do prac dokona oględzin ewentualnego występowania gatunków chronionych; w przypadku ich stwierdzenia uzyska zezwolenie Regionalnego Dyrektora Ochrony środowiska na odstępstwa od zakazów obowiązujących w stosunku do gatunków objętych ochroną prawną</w:t>
      </w:r>
      <w:r w:rsidRPr="009C7EDB">
        <w:rPr>
          <w:rFonts w:asciiTheme="minorHAnsi" w:hAnsiTheme="minorHAnsi"/>
        </w:rPr>
        <w:t>;</w:t>
      </w:r>
    </w:p>
    <w:p w:rsidR="00F15B40" w:rsidRPr="009C7EDB" w:rsidRDefault="00F15B40" w:rsidP="00F15B40">
      <w:pPr>
        <w:numPr>
          <w:ilvl w:val="0"/>
          <w:numId w:val="3"/>
        </w:numPr>
        <w:ind w:left="1134" w:hanging="425"/>
        <w:jc w:val="both"/>
        <w:rPr>
          <w:rFonts w:asciiTheme="minorHAnsi" w:hAnsiTheme="minorHAnsi"/>
        </w:rPr>
      </w:pPr>
      <w:r w:rsidRPr="009C7EDB">
        <w:rPr>
          <w:rFonts w:asciiTheme="minorHAnsi" w:hAnsiTheme="minorHAnsi"/>
        </w:rPr>
        <w:t>u</w:t>
      </w:r>
      <w:r w:rsidRPr="009C7EDB">
        <w:rPr>
          <w:rFonts w:asciiTheme="minorHAnsi" w:hAnsiTheme="minorHAnsi"/>
          <w:spacing w:val="-2"/>
        </w:rPr>
        <w:t xml:space="preserve">sunięcie drzew zasiedlonych przez ptaki objęte ochroną gatunkową jest możliwe poza okresem lęgowym </w:t>
      </w:r>
      <w:r w:rsidRPr="009C7EDB">
        <w:rPr>
          <w:rFonts w:asciiTheme="minorHAnsi" w:hAnsiTheme="minorHAnsi"/>
          <w:b/>
          <w:spacing w:val="-2"/>
        </w:rPr>
        <w:t>(od 16 października do końca lutego)</w:t>
      </w:r>
      <w:r w:rsidRPr="009C7EDB">
        <w:rPr>
          <w:rFonts w:asciiTheme="minorHAnsi" w:hAnsiTheme="minorHAnsi"/>
          <w:spacing w:val="-2"/>
        </w:rPr>
        <w:t xml:space="preserve">. W przypadku zamiaru usunięcia drzew, na których znajdują się gniazda poza tym okresem należy sprawdzić obecność prowadzenia lęgów przez ptaki w obrębie </w:t>
      </w:r>
      <w:proofErr w:type="spellStart"/>
      <w:r w:rsidRPr="009C7EDB">
        <w:rPr>
          <w:rFonts w:asciiTheme="minorHAnsi" w:hAnsiTheme="minorHAnsi"/>
          <w:spacing w:val="-2"/>
        </w:rPr>
        <w:t>zadrzewień</w:t>
      </w:r>
      <w:proofErr w:type="spellEnd"/>
      <w:r w:rsidRPr="009C7EDB">
        <w:rPr>
          <w:rFonts w:asciiTheme="minorHAnsi" w:hAnsiTheme="minorHAnsi"/>
          <w:spacing w:val="-2"/>
        </w:rPr>
        <w:t>. Gdy usunięcie drzewa może spowodować zniszczenie siedliska gatunku chronionego (np. gniazda lup dziupli) konieczne będzie uzyskanie przez Wykonawcę zezwolenia Regionalnego Dyrektora Ochrony Środowiska na odstępstwa od zakazów obowiązujących w stosunku do gatunków objętych ochroną prawną,</w:t>
      </w:r>
    </w:p>
    <w:p w:rsidR="009807A3" w:rsidRPr="009C7EDB" w:rsidRDefault="00F15B40" w:rsidP="00F15B40">
      <w:pPr>
        <w:numPr>
          <w:ilvl w:val="0"/>
          <w:numId w:val="3"/>
        </w:numPr>
        <w:ind w:left="1134" w:hanging="425"/>
        <w:jc w:val="both"/>
        <w:rPr>
          <w:rFonts w:asciiTheme="minorHAnsi" w:hAnsiTheme="minorHAnsi"/>
        </w:rPr>
      </w:pPr>
      <w:r w:rsidRPr="009C7EDB">
        <w:rPr>
          <w:rFonts w:asciiTheme="minorHAnsi" w:hAnsiTheme="minorHAnsi"/>
        </w:rPr>
        <w:t xml:space="preserve"> </w:t>
      </w:r>
      <w:r w:rsidR="009807A3" w:rsidRPr="009C7EDB">
        <w:rPr>
          <w:rFonts w:asciiTheme="minorHAnsi" w:hAnsiTheme="minorHAnsi"/>
        </w:rPr>
        <w:t>pielęgnacja murawy boiska piłkarskiego:</w:t>
      </w:r>
    </w:p>
    <w:p w:rsidR="009807A3" w:rsidRPr="009C7EDB" w:rsidRDefault="009807A3" w:rsidP="00F15B40">
      <w:pPr>
        <w:ind w:left="1134"/>
        <w:jc w:val="both"/>
        <w:rPr>
          <w:rFonts w:asciiTheme="minorHAnsi" w:hAnsiTheme="minorHAnsi"/>
        </w:rPr>
      </w:pPr>
      <w:r w:rsidRPr="009C7EDB">
        <w:rPr>
          <w:rFonts w:asciiTheme="minorHAnsi" w:hAnsiTheme="minorHAnsi"/>
        </w:rPr>
        <w:t xml:space="preserve">Wykonawca </w:t>
      </w:r>
      <w:r w:rsidRPr="009C7EDB">
        <w:rPr>
          <w:rFonts w:asciiTheme="minorHAnsi" w:hAnsiTheme="minorHAnsi"/>
          <w:b/>
        </w:rPr>
        <w:t>przez okres 12 miesięcy od dnia zasiewu trawy</w:t>
      </w:r>
      <w:r w:rsidRPr="009C7EDB">
        <w:rPr>
          <w:rFonts w:asciiTheme="minorHAnsi" w:hAnsiTheme="minorHAnsi"/>
        </w:rPr>
        <w:t xml:space="preserve"> (potwierdzone protokołem częściowego odbioru robót), wykonywał będzie wszelkie niezbędne zabiegi pielęgnacyjne i stosował odpowiednie technologie zapewniające prawidłowy rozwój i utrzymanie murawy boiska piłkarskiego w szczególności:</w:t>
      </w:r>
    </w:p>
    <w:p w:rsidR="009807A3" w:rsidRPr="009C7EDB" w:rsidRDefault="009807A3" w:rsidP="009807A3">
      <w:pPr>
        <w:ind w:left="993"/>
        <w:jc w:val="both"/>
        <w:rPr>
          <w:rFonts w:asciiTheme="minorHAnsi" w:hAnsiTheme="minorHAnsi"/>
        </w:rPr>
      </w:pPr>
      <w:r w:rsidRPr="009C7EDB">
        <w:rPr>
          <w:rFonts w:asciiTheme="minorHAnsi" w:hAnsiTheme="minorHAnsi"/>
        </w:rPr>
        <w:t xml:space="preserve">- aeracja perforacyjna, </w:t>
      </w:r>
    </w:p>
    <w:p w:rsidR="009807A3" w:rsidRPr="009C7EDB" w:rsidRDefault="009807A3" w:rsidP="009807A3">
      <w:pPr>
        <w:ind w:left="993"/>
        <w:jc w:val="both"/>
        <w:rPr>
          <w:rFonts w:asciiTheme="minorHAnsi" w:hAnsiTheme="minorHAnsi"/>
        </w:rPr>
      </w:pPr>
      <w:r w:rsidRPr="009C7EDB">
        <w:rPr>
          <w:rFonts w:asciiTheme="minorHAnsi" w:hAnsiTheme="minorHAnsi"/>
        </w:rPr>
        <w:t>- usuwanie uszkodzeń poprzez dosiew gotową mieszanką gleby i nasion,</w:t>
      </w:r>
    </w:p>
    <w:p w:rsidR="009807A3" w:rsidRPr="009C7EDB" w:rsidRDefault="009807A3" w:rsidP="009807A3">
      <w:pPr>
        <w:ind w:left="993"/>
        <w:jc w:val="both"/>
        <w:rPr>
          <w:rFonts w:asciiTheme="minorHAnsi" w:hAnsiTheme="minorHAnsi"/>
        </w:rPr>
      </w:pPr>
      <w:r w:rsidRPr="009C7EDB">
        <w:rPr>
          <w:rFonts w:asciiTheme="minorHAnsi" w:hAnsiTheme="minorHAnsi"/>
        </w:rPr>
        <w:lastRenderedPageBreak/>
        <w:t>- wykonywanie napraw metoda ręczną (zabliźnianie),</w:t>
      </w:r>
    </w:p>
    <w:p w:rsidR="009807A3" w:rsidRPr="009C7EDB" w:rsidRDefault="009807A3" w:rsidP="009807A3">
      <w:pPr>
        <w:ind w:left="993"/>
        <w:jc w:val="both"/>
        <w:rPr>
          <w:rFonts w:asciiTheme="minorHAnsi" w:hAnsiTheme="minorHAnsi"/>
        </w:rPr>
      </w:pPr>
      <w:r w:rsidRPr="009C7EDB">
        <w:rPr>
          <w:rFonts w:asciiTheme="minorHAnsi" w:hAnsiTheme="minorHAnsi"/>
        </w:rPr>
        <w:t xml:space="preserve">- </w:t>
      </w:r>
      <w:proofErr w:type="spellStart"/>
      <w:r w:rsidRPr="009C7EDB">
        <w:rPr>
          <w:rFonts w:asciiTheme="minorHAnsi" w:hAnsiTheme="minorHAnsi"/>
        </w:rPr>
        <w:t>wertykulacja</w:t>
      </w:r>
      <w:proofErr w:type="spellEnd"/>
      <w:r w:rsidRPr="009C7EDB">
        <w:rPr>
          <w:rFonts w:asciiTheme="minorHAnsi" w:hAnsiTheme="minorHAnsi"/>
        </w:rPr>
        <w:t xml:space="preserve"> lub skaryfikacja, w zależności od faktycznego zapotrzebowania murawy,</w:t>
      </w:r>
    </w:p>
    <w:p w:rsidR="009807A3" w:rsidRPr="009C7EDB" w:rsidRDefault="009807A3" w:rsidP="009807A3">
      <w:pPr>
        <w:ind w:left="993"/>
        <w:jc w:val="both"/>
        <w:rPr>
          <w:rFonts w:asciiTheme="minorHAnsi" w:hAnsiTheme="minorHAnsi"/>
        </w:rPr>
      </w:pPr>
      <w:r w:rsidRPr="009C7EDB">
        <w:rPr>
          <w:rFonts w:asciiTheme="minorHAnsi" w:hAnsiTheme="minorHAnsi"/>
        </w:rPr>
        <w:t>- piaskowanie (z dostawą piasku)</w:t>
      </w:r>
    </w:p>
    <w:p w:rsidR="009807A3" w:rsidRPr="009C7EDB" w:rsidRDefault="009807A3" w:rsidP="009807A3">
      <w:pPr>
        <w:ind w:left="993"/>
        <w:jc w:val="both"/>
        <w:rPr>
          <w:rFonts w:asciiTheme="minorHAnsi" w:hAnsiTheme="minorHAnsi"/>
        </w:rPr>
      </w:pPr>
      <w:r w:rsidRPr="009C7EDB">
        <w:rPr>
          <w:rFonts w:asciiTheme="minorHAnsi" w:hAnsiTheme="minorHAnsi"/>
        </w:rPr>
        <w:t>- oprysk przeciwko grzybom i chorobom</w:t>
      </w:r>
    </w:p>
    <w:p w:rsidR="009807A3" w:rsidRPr="009C7EDB" w:rsidRDefault="009807A3" w:rsidP="009807A3">
      <w:pPr>
        <w:ind w:left="993"/>
        <w:jc w:val="both"/>
        <w:rPr>
          <w:rFonts w:asciiTheme="minorHAnsi" w:hAnsiTheme="minorHAnsi"/>
        </w:rPr>
      </w:pPr>
      <w:r w:rsidRPr="009C7EDB">
        <w:rPr>
          <w:rFonts w:asciiTheme="minorHAnsi" w:hAnsiTheme="minorHAnsi"/>
        </w:rPr>
        <w:t>- oprysk przeciwko roślinom wielolistnym</w:t>
      </w:r>
    </w:p>
    <w:p w:rsidR="009807A3" w:rsidRPr="009C7EDB" w:rsidRDefault="009807A3" w:rsidP="009807A3">
      <w:pPr>
        <w:ind w:left="1276" w:hanging="283"/>
        <w:jc w:val="both"/>
        <w:rPr>
          <w:rFonts w:asciiTheme="minorHAnsi" w:hAnsiTheme="minorHAnsi"/>
        </w:rPr>
      </w:pPr>
      <w:r w:rsidRPr="009C7EDB">
        <w:rPr>
          <w:rFonts w:asciiTheme="minorHAnsi" w:hAnsiTheme="minorHAnsi"/>
        </w:rPr>
        <w:t xml:space="preserve">- nawożenie doglebowe i </w:t>
      </w:r>
      <w:proofErr w:type="spellStart"/>
      <w:r w:rsidRPr="009C7EDB">
        <w:rPr>
          <w:rFonts w:asciiTheme="minorHAnsi" w:hAnsiTheme="minorHAnsi"/>
        </w:rPr>
        <w:t>dolistne</w:t>
      </w:r>
      <w:proofErr w:type="spellEnd"/>
      <w:r w:rsidRPr="009C7EDB">
        <w:rPr>
          <w:rFonts w:asciiTheme="minorHAnsi" w:hAnsiTheme="minorHAnsi"/>
        </w:rPr>
        <w:t xml:space="preserve">, dostosowane do kondycji murawy </w:t>
      </w:r>
      <w:r w:rsidRPr="009C7EDB">
        <w:rPr>
          <w:rFonts w:asciiTheme="minorHAnsi" w:hAnsiTheme="minorHAnsi"/>
        </w:rPr>
        <w:br/>
        <w:t>i zaspokajające faktyczne zapotrzebowanie roślin</w:t>
      </w:r>
    </w:p>
    <w:p w:rsidR="009807A3" w:rsidRPr="009C7EDB" w:rsidRDefault="009807A3" w:rsidP="009807A3">
      <w:pPr>
        <w:ind w:left="993"/>
        <w:jc w:val="both"/>
        <w:rPr>
          <w:rFonts w:asciiTheme="minorHAnsi" w:hAnsiTheme="minorHAnsi"/>
        </w:rPr>
      </w:pPr>
      <w:r w:rsidRPr="009C7EDB">
        <w:rPr>
          <w:rFonts w:asciiTheme="minorHAnsi" w:hAnsiTheme="minorHAnsi"/>
        </w:rPr>
        <w:t>- koszenie raz w tygodniu. Pierwsze koszenie do wysokości 6 cm, powinno się odbywać się gdy trawa osiągnie 8-10 cm wysokości. Kolejne koszenia zaleca się w</w:t>
      </w:r>
      <w:r w:rsidR="00D94A69" w:rsidRPr="009C7EDB">
        <w:rPr>
          <w:rFonts w:asciiTheme="minorHAnsi" w:hAnsiTheme="minorHAnsi"/>
        </w:rPr>
        <w:t>ykonywać na wysokość ok. 3,5 cm</w:t>
      </w:r>
      <w:r w:rsidRPr="009C7EDB">
        <w:rPr>
          <w:rFonts w:asciiTheme="minorHAnsi" w:hAnsiTheme="minorHAnsi"/>
        </w:rPr>
        <w:t xml:space="preserve"> zgodnie z zasadą ścinania optymalnie 1/3 maksymalnie ½ wysokości trawy, oraz uwzględniając warunki pogodowe.</w:t>
      </w:r>
    </w:p>
    <w:p w:rsidR="009807A3" w:rsidRPr="009C7EDB" w:rsidRDefault="009807A3" w:rsidP="009807A3">
      <w:pPr>
        <w:ind w:left="284"/>
        <w:jc w:val="both"/>
        <w:rPr>
          <w:rFonts w:asciiTheme="minorHAnsi" w:hAnsiTheme="minorHAnsi"/>
        </w:rPr>
      </w:pPr>
      <w:r w:rsidRPr="009C7EDB">
        <w:rPr>
          <w:rFonts w:asciiTheme="minorHAnsi" w:hAnsiTheme="minorHAnsi"/>
        </w:rPr>
        <w:t>Każdą wykonaną czynność Wykonawca opisze w Książce Pielęgnacji wraz z podaniem daty oraz ilości użytych materiałów. Zabiegi mają być wykonywane tak</w:t>
      </w:r>
      <w:r w:rsidR="00D94A69" w:rsidRPr="009C7EDB">
        <w:rPr>
          <w:rFonts w:asciiTheme="minorHAnsi" w:hAnsiTheme="minorHAnsi"/>
        </w:rPr>
        <w:t>,</w:t>
      </w:r>
      <w:r w:rsidRPr="009C7EDB">
        <w:rPr>
          <w:rFonts w:asciiTheme="minorHAnsi" w:hAnsiTheme="minorHAnsi"/>
        </w:rPr>
        <w:t xml:space="preserve"> aby murawa w ciągu 12 miesięcy zachowała jak najlepsze warunki sportowo/użytkowe.</w:t>
      </w:r>
    </w:p>
    <w:p w:rsidR="00D94A69" w:rsidRPr="009C7EDB" w:rsidRDefault="00D94A69" w:rsidP="009807A3">
      <w:pPr>
        <w:ind w:left="284"/>
        <w:jc w:val="both"/>
        <w:rPr>
          <w:rFonts w:asciiTheme="minorHAnsi" w:hAnsiTheme="minorHAnsi"/>
        </w:rPr>
      </w:pPr>
    </w:p>
    <w:p w:rsidR="009807A3" w:rsidRPr="009C7EDB" w:rsidRDefault="00D94A69" w:rsidP="009807A3">
      <w:pPr>
        <w:numPr>
          <w:ilvl w:val="0"/>
          <w:numId w:val="9"/>
        </w:numPr>
        <w:jc w:val="both"/>
        <w:rPr>
          <w:rFonts w:asciiTheme="minorHAnsi" w:hAnsiTheme="minorHAnsi"/>
          <w:bCs/>
          <w:spacing w:val="-2"/>
          <w:szCs w:val="24"/>
        </w:rPr>
      </w:pPr>
      <w:r w:rsidRPr="009C7EDB">
        <w:rPr>
          <w:rFonts w:asciiTheme="minorHAnsi" w:hAnsiTheme="minorHAnsi"/>
          <w:bCs/>
        </w:rPr>
        <w:t>Przedmiot</w:t>
      </w:r>
      <w:r w:rsidR="009807A3" w:rsidRPr="009C7EDB">
        <w:rPr>
          <w:rFonts w:asciiTheme="minorHAnsi" w:hAnsiTheme="minorHAnsi"/>
          <w:bCs/>
        </w:rPr>
        <w:t xml:space="preserve"> zamówienia </w:t>
      </w:r>
      <w:r w:rsidR="009807A3" w:rsidRPr="009C7EDB">
        <w:rPr>
          <w:rFonts w:asciiTheme="minorHAnsi" w:hAnsiTheme="minorHAnsi"/>
        </w:rPr>
        <w:t xml:space="preserve">przewiduje także wykonanie ogrodzenia stadionu zgodnie z PZT o parametrach: balustrady np.: typ olsztyński U-11a wykonane ze stali nierdzewnej z wypełnieniami przelotowymi przez słupki, mocowanie proste do stopni lub podestu, wykonanie standardowe: słupki fi 50mm, pochwyt fi 50mm, pręt wypełniający 10 mm. Balustrada o wysokości 1,10m. Rozstaw prętów pionowych maks. 12,0 cm, zabetonowane w gruncie, o wysokości 110cm ponad teren, rozpiętość 150-200cm. W ramach inwestycji należy wykonać stałe punkty bazowe geometrii obiektu - znaki geodezyjne (CP1 i CP2) Centralne punkty pomiarowe  winny być zainstalowane trwale wg wymogów PZLA oraz WA (World </w:t>
      </w:r>
      <w:proofErr w:type="spellStart"/>
      <w:r w:rsidR="009807A3" w:rsidRPr="009C7EDB">
        <w:rPr>
          <w:rFonts w:asciiTheme="minorHAnsi" w:hAnsiTheme="minorHAnsi"/>
        </w:rPr>
        <w:t>Athletics</w:t>
      </w:r>
      <w:proofErr w:type="spellEnd"/>
      <w:r w:rsidR="009807A3" w:rsidRPr="009C7EDB">
        <w:rPr>
          <w:rFonts w:asciiTheme="minorHAnsi" w:hAnsiTheme="minorHAnsi"/>
        </w:rPr>
        <w:t>) zaznaczone i opisane na PZT.</w:t>
      </w:r>
    </w:p>
    <w:p w:rsidR="00101CA9" w:rsidRPr="009C7EDB" w:rsidRDefault="00101CA9" w:rsidP="00101CA9">
      <w:pPr>
        <w:pStyle w:val="Akapitzlist"/>
        <w:jc w:val="both"/>
        <w:rPr>
          <w:rFonts w:asciiTheme="minorHAnsi" w:hAnsiTheme="minorHAnsi"/>
        </w:rPr>
      </w:pPr>
    </w:p>
    <w:p w:rsidR="00101CA9" w:rsidRPr="009C7EDB" w:rsidRDefault="00101CA9" w:rsidP="00101CA9">
      <w:pPr>
        <w:spacing w:line="276" w:lineRule="auto"/>
        <w:ind w:left="142"/>
        <w:jc w:val="both"/>
        <w:rPr>
          <w:rFonts w:asciiTheme="minorHAnsi" w:hAnsiTheme="minorHAnsi"/>
          <w:b/>
        </w:rPr>
      </w:pPr>
      <w:r w:rsidRPr="009C7EDB">
        <w:rPr>
          <w:rFonts w:asciiTheme="minorHAnsi" w:hAnsiTheme="minorHAnsi"/>
          <w:b/>
        </w:rPr>
        <w:t xml:space="preserve">4.  Rozwiązania równoważne: </w:t>
      </w:r>
    </w:p>
    <w:p w:rsidR="00101CA9" w:rsidRPr="009C7EDB" w:rsidRDefault="00101CA9" w:rsidP="00101CA9">
      <w:pPr>
        <w:spacing w:line="276" w:lineRule="auto"/>
        <w:ind w:left="142"/>
        <w:jc w:val="both"/>
        <w:rPr>
          <w:rFonts w:asciiTheme="minorHAnsi" w:hAnsiTheme="minorHAnsi"/>
          <w:b/>
        </w:rPr>
      </w:pPr>
    </w:p>
    <w:p w:rsidR="00101CA9" w:rsidRPr="009C7EDB" w:rsidRDefault="00101CA9" w:rsidP="00101CA9">
      <w:pPr>
        <w:pStyle w:val="Akapitzlist"/>
        <w:numPr>
          <w:ilvl w:val="0"/>
          <w:numId w:val="17"/>
        </w:numPr>
        <w:suppressAutoHyphens/>
        <w:spacing w:after="397"/>
        <w:jc w:val="both"/>
        <w:rPr>
          <w:rFonts w:asciiTheme="minorHAnsi" w:hAnsiTheme="minorHAnsi"/>
          <w:kern w:val="2"/>
        </w:rPr>
      </w:pPr>
      <w:r w:rsidRPr="009C7EDB">
        <w:rPr>
          <w:rFonts w:asciiTheme="minorHAnsi" w:eastAsia="Arial Unicode MS" w:hAnsiTheme="minorHAnsi" w:cs="Arial"/>
          <w:kern w:val="2"/>
        </w:rPr>
        <w:t xml:space="preserve">W przypadku, kiedy w opisie przedmiotu zamówienia wskazane zostaną znaki towarowe, patenty, pochodzenie, źródło lub szczególny proces, charakteryzujące określone produkty lub usługi dostarczane przez konkretnego wykonawcę, oznacza to, że Zamawiający nie mógł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101CA9" w:rsidRPr="009C7EDB" w:rsidRDefault="00101CA9" w:rsidP="00101CA9">
      <w:pPr>
        <w:pStyle w:val="Akapitzlist"/>
        <w:numPr>
          <w:ilvl w:val="0"/>
          <w:numId w:val="17"/>
        </w:numPr>
        <w:suppressAutoHyphens/>
        <w:spacing w:after="397"/>
        <w:jc w:val="both"/>
        <w:rPr>
          <w:rFonts w:asciiTheme="minorHAnsi" w:hAnsiTheme="minorHAnsi"/>
          <w:kern w:val="2"/>
        </w:rPr>
      </w:pPr>
      <w:r w:rsidRPr="009C7EDB">
        <w:rPr>
          <w:rFonts w:asciiTheme="minorHAnsi" w:eastAsia="Arial Unicode MS" w:hAnsiTheme="minorHAnsi" w:cs="Arial"/>
          <w:kern w:val="2"/>
        </w:rPr>
        <w:t xml:space="preserve">W sytuacjach, kiedy Zamawiający opisuje przedmiot zamówienia poprzez odniesienie się do norm, europejskich ocen technicznych, aprobat, specyfikacji technicznych i systemów referencji technicznych, o których mowa w art. 101 ust. 1 pkt. 2 i ust. 3 ustawy </w:t>
      </w:r>
      <w:proofErr w:type="spellStart"/>
      <w:r w:rsidRPr="009C7EDB">
        <w:rPr>
          <w:rFonts w:asciiTheme="minorHAnsi" w:eastAsia="Arial Unicode MS" w:hAnsiTheme="minorHAnsi" w:cs="Arial"/>
          <w:kern w:val="2"/>
        </w:rPr>
        <w:t>Pzp</w:t>
      </w:r>
      <w:proofErr w:type="spellEnd"/>
      <w:r w:rsidRPr="009C7EDB">
        <w:rPr>
          <w:rFonts w:asciiTheme="minorHAnsi" w:eastAsia="Arial Unicode MS" w:hAnsiTheme="minorHAnsi" w:cs="Arial"/>
          <w:kern w:val="2"/>
        </w:rPr>
        <w:t xml:space="preserve">, dopuszcza rozwiązania równoważne opisywanym; </w:t>
      </w:r>
      <w:r w:rsidRPr="009C7EDB">
        <w:rPr>
          <w:rFonts w:asciiTheme="minorHAnsi" w:hAnsiTheme="minorHAnsi" w:cs="Arial"/>
          <w:kern w:val="2"/>
        </w:rPr>
        <w:t xml:space="preserve">a odniesieniu takiemu towarzyszą wyrazy „lub równoważne”. </w:t>
      </w:r>
    </w:p>
    <w:p w:rsidR="00101CA9" w:rsidRPr="009C7EDB" w:rsidRDefault="00101CA9" w:rsidP="00101CA9">
      <w:pPr>
        <w:pStyle w:val="Akapitzlist"/>
        <w:numPr>
          <w:ilvl w:val="0"/>
          <w:numId w:val="17"/>
        </w:numPr>
        <w:suppressAutoHyphens/>
        <w:spacing w:after="397"/>
        <w:jc w:val="both"/>
        <w:rPr>
          <w:rFonts w:asciiTheme="minorHAnsi" w:hAnsiTheme="minorHAnsi"/>
          <w:kern w:val="2"/>
        </w:rPr>
      </w:pPr>
      <w:r w:rsidRPr="009C7EDB">
        <w:rPr>
          <w:rFonts w:asciiTheme="minorHAnsi" w:eastAsia="Arial Unicode MS" w:hAnsiTheme="minorHAnsi" w:cs="Arial"/>
          <w:kern w:val="2"/>
        </w:rPr>
        <w:t xml:space="preserve">Ilekroć w opisie przedmiotu zamówienia podane zostały wskazania dotyczące określonej marki, znaku towarowego, producenta, dostawcy, materiałów lub norm, o których mowa w art. 99 ust. 5 ustawy </w:t>
      </w:r>
      <w:proofErr w:type="spellStart"/>
      <w:r w:rsidRPr="009C7EDB">
        <w:rPr>
          <w:rFonts w:asciiTheme="minorHAnsi" w:eastAsia="Arial Unicode MS" w:hAnsiTheme="minorHAnsi" w:cs="Arial"/>
          <w:kern w:val="2"/>
        </w:rPr>
        <w:t>Pzp</w:t>
      </w:r>
      <w:proofErr w:type="spellEnd"/>
      <w:r w:rsidRPr="009C7EDB">
        <w:rPr>
          <w:rFonts w:asciiTheme="minorHAnsi" w:eastAsia="Arial Unicode MS" w:hAnsiTheme="minorHAnsi" w:cs="Arial"/>
          <w:kern w:val="2"/>
        </w:rPr>
        <w:t xml:space="preserve"> oznacza to, że Zamawiający użył powyższych określeń jako przykładowych i pomocniczych.</w:t>
      </w:r>
    </w:p>
    <w:p w:rsidR="00101CA9" w:rsidRPr="009C7EDB" w:rsidRDefault="00101CA9" w:rsidP="00101CA9">
      <w:pPr>
        <w:pStyle w:val="Akapitzlist"/>
        <w:numPr>
          <w:ilvl w:val="0"/>
          <w:numId w:val="17"/>
        </w:numPr>
        <w:suppressAutoHyphens/>
        <w:spacing w:after="397"/>
        <w:jc w:val="both"/>
        <w:rPr>
          <w:rFonts w:asciiTheme="minorHAnsi" w:hAnsiTheme="minorHAnsi"/>
          <w:kern w:val="2"/>
        </w:rPr>
      </w:pPr>
      <w:r w:rsidRPr="009C7EDB">
        <w:rPr>
          <w:rFonts w:asciiTheme="minorHAnsi" w:eastAsia="Arial Unicode MS" w:hAnsiTheme="minorHAnsi" w:cs="Arial"/>
          <w:kern w:val="2"/>
        </w:rPr>
        <w:t xml:space="preserve">Zamawiający dopuszcza zastosowanie przez Wykonawcę rozwiązań równoważnych w stosunku do opisanych w dokumentacji, pod warunkiem, że będą one posiadały, co </w:t>
      </w:r>
      <w:r w:rsidRPr="009C7EDB">
        <w:rPr>
          <w:rFonts w:asciiTheme="minorHAnsi" w:eastAsia="Arial Unicode MS" w:hAnsiTheme="minorHAnsi" w:cs="Arial"/>
          <w:kern w:val="2"/>
        </w:rPr>
        <w:lastRenderedPageBreak/>
        <w:t>najmniej takie same lub lepsze parametry techniczne i funkcjonalne i nie obniżą określonych w dokumentacji standardów.</w:t>
      </w:r>
    </w:p>
    <w:p w:rsidR="00101CA9" w:rsidRPr="009C7EDB" w:rsidRDefault="00101CA9" w:rsidP="00101CA9">
      <w:pPr>
        <w:pStyle w:val="Akapitzlist"/>
        <w:numPr>
          <w:ilvl w:val="0"/>
          <w:numId w:val="17"/>
        </w:numPr>
        <w:suppressAutoHyphens/>
        <w:autoSpaceDE w:val="0"/>
        <w:spacing w:after="160"/>
        <w:jc w:val="both"/>
        <w:rPr>
          <w:rFonts w:asciiTheme="minorHAnsi" w:hAnsiTheme="minorHAnsi"/>
          <w:kern w:val="2"/>
        </w:rPr>
      </w:pPr>
      <w:r w:rsidRPr="009C7EDB">
        <w:rPr>
          <w:rFonts w:asciiTheme="minorHAnsi" w:eastAsia="Arial Unicode MS" w:hAnsiTheme="minorHAnsi" w:cs="Arial"/>
          <w:kern w:val="2"/>
        </w:rPr>
        <w:t>Wykonawca, który  zaproponuje urządzenia, instalacje, materiały oraz inne elementy jako równoważne, zobowiązany jest do złożenia wraz z ofertą „Opisu oferowanych rozwiązań równoważnych” oraz stosownych dokumentów. Treść tych dokumentów powinna być na tyle szczegółowa i jednoznaczna, aby Zamawiający przy ocenie oferty mógł ocenić spełnienie wymagań dotyczących tych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w dokumentacji oraz posiadać stosowne dopuszczenia i atesty.</w:t>
      </w:r>
    </w:p>
    <w:p w:rsidR="009807A3" w:rsidRPr="009C7EDB" w:rsidRDefault="009807A3" w:rsidP="009807A3">
      <w:pPr>
        <w:ind w:left="720"/>
        <w:rPr>
          <w:rFonts w:asciiTheme="minorHAnsi" w:hAnsiTheme="minorHAnsi"/>
          <w:b/>
          <w:bCs/>
          <w:spacing w:val="-2"/>
          <w:szCs w:val="24"/>
          <w:highlight w:val="lightGray"/>
          <w:u w:val="single"/>
        </w:rPr>
      </w:pPr>
    </w:p>
    <w:p w:rsidR="00101CA9" w:rsidRPr="009C7EDB" w:rsidRDefault="00101CA9" w:rsidP="009807A3">
      <w:pPr>
        <w:ind w:left="720"/>
        <w:rPr>
          <w:rFonts w:asciiTheme="minorHAnsi" w:hAnsiTheme="minorHAnsi"/>
          <w:b/>
          <w:bCs/>
          <w:spacing w:val="-2"/>
          <w:szCs w:val="24"/>
          <w:highlight w:val="lightGray"/>
          <w:u w:val="single"/>
        </w:rPr>
      </w:pPr>
    </w:p>
    <w:p w:rsidR="009807A3" w:rsidRPr="009C7EDB" w:rsidRDefault="009807A3" w:rsidP="009807A3">
      <w:pPr>
        <w:suppressAutoHyphens/>
        <w:autoSpaceDE w:val="0"/>
        <w:jc w:val="both"/>
        <w:rPr>
          <w:rFonts w:asciiTheme="minorHAnsi" w:eastAsia="TimesNewRomanPSMT" w:hAnsiTheme="minorHAnsi" w:cs="TimesNewRomanPSMT"/>
          <w:kern w:val="2"/>
          <w:sz w:val="22"/>
        </w:rPr>
      </w:pPr>
    </w:p>
    <w:p w:rsidR="009807A3" w:rsidRPr="009C7EDB" w:rsidRDefault="009807A3" w:rsidP="009807A3">
      <w:pPr>
        <w:suppressAutoHyphens/>
        <w:autoSpaceDE w:val="0"/>
        <w:jc w:val="both"/>
        <w:rPr>
          <w:rFonts w:asciiTheme="minorHAnsi" w:eastAsia="Times New Roman" w:hAnsiTheme="minorHAnsi"/>
          <w:b/>
          <w:kern w:val="2"/>
          <w:szCs w:val="24"/>
        </w:rPr>
      </w:pPr>
      <w:r w:rsidRPr="009C7EDB">
        <w:rPr>
          <w:rFonts w:asciiTheme="minorHAnsi" w:eastAsia="TimesNewRomanPSMT" w:hAnsiTheme="minorHAnsi" w:cs="Arial"/>
          <w:b/>
          <w:kern w:val="2"/>
          <w:szCs w:val="24"/>
        </w:rPr>
        <w:t>WAŻNE:</w:t>
      </w:r>
    </w:p>
    <w:p w:rsidR="009807A3" w:rsidRPr="009C7EDB" w:rsidRDefault="009807A3" w:rsidP="009807A3">
      <w:pPr>
        <w:suppressAutoHyphens/>
        <w:autoSpaceDE w:val="0"/>
        <w:spacing w:before="57"/>
        <w:jc w:val="both"/>
        <w:rPr>
          <w:rFonts w:asciiTheme="minorHAnsi" w:eastAsia="Times New Roman" w:hAnsiTheme="minorHAnsi"/>
          <w:b/>
          <w:kern w:val="2"/>
          <w:szCs w:val="24"/>
        </w:rPr>
      </w:pPr>
      <w:r w:rsidRPr="009C7EDB">
        <w:rPr>
          <w:rFonts w:asciiTheme="minorHAnsi" w:eastAsia="TimesNewRomanPSMT" w:hAnsiTheme="minorHAnsi" w:cs="Arial"/>
          <w:b/>
          <w:kern w:val="2"/>
          <w:szCs w:val="24"/>
        </w:rPr>
        <w:t>Opis przedmiotu zamówienia przedstawia ogólny zakres robót budowlanych i całej inwestycji. Szczegółowy zakres robót zawarty jest w dokumentacji technicznej i przedmiarze robót. Przedmiar robót stanowi pomoc w określeniu zakresu robót. Przedmiar robót nie jest podstawą ilościową do wyceny oferty. Wycenę należy ściśle koordynować z opisem przedmiotu zamówienia.</w:t>
      </w:r>
    </w:p>
    <w:p w:rsidR="009807A3" w:rsidRPr="009C7EDB" w:rsidRDefault="009807A3" w:rsidP="009807A3">
      <w:pPr>
        <w:jc w:val="both"/>
        <w:rPr>
          <w:rFonts w:asciiTheme="minorHAnsi" w:hAnsiTheme="minorHAnsi"/>
          <w:b/>
        </w:rPr>
      </w:pPr>
    </w:p>
    <w:p w:rsidR="009807A3" w:rsidRPr="009C7EDB" w:rsidRDefault="009807A3" w:rsidP="009807A3">
      <w:pPr>
        <w:jc w:val="both"/>
        <w:rPr>
          <w:rFonts w:asciiTheme="minorHAnsi" w:hAnsiTheme="minorHAnsi"/>
          <w:b/>
        </w:rPr>
      </w:pPr>
    </w:p>
    <w:p w:rsidR="00087E1D" w:rsidRPr="009C7EDB" w:rsidRDefault="00101CA9" w:rsidP="00101CA9">
      <w:pPr>
        <w:jc w:val="both"/>
        <w:rPr>
          <w:rFonts w:asciiTheme="minorHAnsi" w:hAnsiTheme="minorHAnsi"/>
          <w:b/>
        </w:rPr>
      </w:pPr>
      <w:r w:rsidRPr="009C7EDB">
        <w:rPr>
          <w:rFonts w:asciiTheme="minorHAnsi" w:hAnsiTheme="minorHAnsi"/>
          <w:b/>
        </w:rPr>
        <w:t xml:space="preserve">5. </w:t>
      </w:r>
      <w:r w:rsidR="00087E1D" w:rsidRPr="009C7EDB">
        <w:rPr>
          <w:rFonts w:asciiTheme="minorHAnsi" w:hAnsiTheme="minorHAnsi"/>
          <w:b/>
        </w:rPr>
        <w:t>Przedmiotowe środki do</w:t>
      </w:r>
      <w:r w:rsidR="009807A3" w:rsidRPr="009C7EDB">
        <w:rPr>
          <w:rFonts w:asciiTheme="minorHAnsi" w:hAnsiTheme="minorHAnsi"/>
          <w:b/>
        </w:rPr>
        <w:t>wodowe:</w:t>
      </w:r>
    </w:p>
    <w:p w:rsidR="009807A3" w:rsidRPr="009C7EDB" w:rsidRDefault="009807A3" w:rsidP="009807A3">
      <w:pPr>
        <w:pStyle w:val="Akapitzlist"/>
        <w:ind w:left="567"/>
        <w:jc w:val="both"/>
        <w:rPr>
          <w:rFonts w:asciiTheme="minorHAnsi" w:hAnsiTheme="minorHAnsi"/>
          <w:b/>
        </w:rPr>
      </w:pPr>
    </w:p>
    <w:p w:rsidR="00DE0156" w:rsidRPr="009C7EDB" w:rsidRDefault="00DE0156" w:rsidP="00087E1D">
      <w:pPr>
        <w:pStyle w:val="Akapitzlist"/>
        <w:ind w:left="709"/>
        <w:jc w:val="both"/>
        <w:rPr>
          <w:rFonts w:asciiTheme="minorHAnsi" w:hAnsiTheme="minorHAnsi"/>
        </w:rPr>
      </w:pPr>
      <w:r w:rsidRPr="009C7EDB">
        <w:rPr>
          <w:rFonts w:asciiTheme="minorHAnsi" w:hAnsiTheme="minorHAnsi"/>
          <w:bCs/>
        </w:rPr>
        <w:t xml:space="preserve">Zamawiający w celu potwierdzenia zgodności oferowanych robót budowlanych żąda od wykonawcy </w:t>
      </w:r>
      <w:r w:rsidR="00AD575F" w:rsidRPr="009C7EDB">
        <w:rPr>
          <w:rFonts w:asciiTheme="minorHAnsi" w:hAnsiTheme="minorHAnsi"/>
          <w:bCs/>
        </w:rPr>
        <w:t>dołączenia do oferty</w:t>
      </w:r>
      <w:r w:rsidR="004F0263" w:rsidRPr="009C7EDB">
        <w:rPr>
          <w:rFonts w:asciiTheme="minorHAnsi" w:hAnsiTheme="minorHAnsi"/>
          <w:bCs/>
        </w:rPr>
        <w:t xml:space="preserve"> następujących </w:t>
      </w:r>
      <w:r w:rsidRPr="009C7EDB">
        <w:rPr>
          <w:rFonts w:asciiTheme="minorHAnsi" w:hAnsiTheme="minorHAnsi"/>
          <w:bCs/>
        </w:rPr>
        <w:t>przedmiotowych środków dowodowych</w:t>
      </w:r>
      <w:r w:rsidR="004F0263" w:rsidRPr="009C7EDB">
        <w:rPr>
          <w:rFonts w:asciiTheme="minorHAnsi" w:hAnsiTheme="minorHAnsi"/>
          <w:bCs/>
        </w:rPr>
        <w:t xml:space="preserve">: </w:t>
      </w:r>
    </w:p>
    <w:p w:rsidR="00A427FA" w:rsidRPr="009C7EDB" w:rsidRDefault="00A427FA" w:rsidP="009807A3">
      <w:pPr>
        <w:pStyle w:val="Akapitzlist"/>
        <w:numPr>
          <w:ilvl w:val="0"/>
          <w:numId w:val="18"/>
        </w:numPr>
        <w:ind w:left="1134" w:hanging="425"/>
        <w:jc w:val="both"/>
        <w:rPr>
          <w:rFonts w:asciiTheme="minorHAnsi" w:hAnsiTheme="minorHAnsi"/>
          <w:b/>
        </w:rPr>
      </w:pPr>
      <w:r w:rsidRPr="009C7EDB">
        <w:rPr>
          <w:rFonts w:asciiTheme="minorHAnsi" w:hAnsiTheme="minorHAnsi"/>
          <w:bCs/>
        </w:rPr>
        <w:t>A</w:t>
      </w:r>
      <w:r w:rsidRPr="009C7EDB">
        <w:rPr>
          <w:rFonts w:asciiTheme="minorHAnsi" w:hAnsiTheme="minorHAnsi"/>
        </w:rPr>
        <w:t xml:space="preserve">utoryzację producenta nawierzchni wystawioną dla wykonawcy (oferenta) </w:t>
      </w:r>
      <w:r w:rsidR="009807A3" w:rsidRPr="009C7EDB">
        <w:rPr>
          <w:rFonts w:asciiTheme="minorHAnsi" w:hAnsiTheme="minorHAnsi"/>
        </w:rPr>
        <w:t xml:space="preserve">      </w:t>
      </w:r>
      <w:r w:rsidRPr="009C7EDB">
        <w:rPr>
          <w:rFonts w:asciiTheme="minorHAnsi" w:hAnsiTheme="minorHAnsi"/>
        </w:rPr>
        <w:t>dotyczącą konkretnego zadania, wraz z potwierdzeniem gwarancji.</w:t>
      </w:r>
    </w:p>
    <w:p w:rsidR="00A427FA" w:rsidRPr="009C7EDB" w:rsidRDefault="00A427FA" w:rsidP="009807A3">
      <w:pPr>
        <w:pStyle w:val="Akapitzlist"/>
        <w:numPr>
          <w:ilvl w:val="0"/>
          <w:numId w:val="18"/>
        </w:numPr>
        <w:ind w:left="1134" w:hanging="425"/>
        <w:jc w:val="both"/>
        <w:rPr>
          <w:rFonts w:asciiTheme="minorHAnsi" w:hAnsiTheme="minorHAnsi"/>
          <w:b/>
        </w:rPr>
      </w:pPr>
      <w:r w:rsidRPr="009C7EDB">
        <w:rPr>
          <w:rFonts w:asciiTheme="minorHAnsi" w:hAnsiTheme="minorHAnsi"/>
        </w:rPr>
        <w:t xml:space="preserve">Certyfikat produktu World </w:t>
      </w:r>
      <w:proofErr w:type="spellStart"/>
      <w:r w:rsidRPr="009C7EDB">
        <w:rPr>
          <w:rFonts w:asciiTheme="minorHAnsi" w:hAnsiTheme="minorHAnsi"/>
        </w:rPr>
        <w:t>Athletics</w:t>
      </w:r>
      <w:proofErr w:type="spellEnd"/>
      <w:r w:rsidRPr="009C7EDB">
        <w:rPr>
          <w:rFonts w:asciiTheme="minorHAnsi" w:hAnsiTheme="minorHAnsi"/>
        </w:rPr>
        <w:t xml:space="preserve"> (IAAF) „Product </w:t>
      </w:r>
      <w:proofErr w:type="spellStart"/>
      <w:r w:rsidRPr="009C7EDB">
        <w:rPr>
          <w:rFonts w:asciiTheme="minorHAnsi" w:hAnsiTheme="minorHAnsi"/>
        </w:rPr>
        <w:t>Certificate</w:t>
      </w:r>
      <w:proofErr w:type="spellEnd"/>
      <w:r w:rsidRPr="009C7EDB">
        <w:rPr>
          <w:rFonts w:asciiTheme="minorHAnsi" w:hAnsiTheme="minorHAnsi"/>
        </w:rPr>
        <w:t>” dla oferowanej nawierzchni.</w:t>
      </w:r>
    </w:p>
    <w:p w:rsidR="00A427FA" w:rsidRPr="009C7EDB" w:rsidRDefault="00A427FA" w:rsidP="009807A3">
      <w:pPr>
        <w:pStyle w:val="Akapitzlist"/>
        <w:numPr>
          <w:ilvl w:val="0"/>
          <w:numId w:val="18"/>
        </w:numPr>
        <w:ind w:left="1134" w:hanging="425"/>
        <w:jc w:val="both"/>
        <w:rPr>
          <w:rFonts w:asciiTheme="minorHAnsi" w:hAnsiTheme="minorHAnsi"/>
          <w:b/>
        </w:rPr>
      </w:pPr>
      <w:r w:rsidRPr="009C7EDB">
        <w:rPr>
          <w:rFonts w:asciiTheme="minorHAnsi" w:hAnsiTheme="minorHAnsi"/>
        </w:rPr>
        <w:t xml:space="preserve">Certyfikaty World </w:t>
      </w:r>
      <w:proofErr w:type="spellStart"/>
      <w:r w:rsidRPr="009C7EDB">
        <w:rPr>
          <w:rFonts w:asciiTheme="minorHAnsi" w:hAnsiTheme="minorHAnsi"/>
        </w:rPr>
        <w:t>Athletics</w:t>
      </w:r>
      <w:proofErr w:type="spellEnd"/>
      <w:r w:rsidRPr="009C7EDB">
        <w:rPr>
          <w:rFonts w:asciiTheme="minorHAnsi" w:hAnsiTheme="minorHAnsi"/>
        </w:rPr>
        <w:t xml:space="preserve"> (IAAF) Class 1 dla obiektów wykonanych w  warunkach klimatycznych zbliżonych do panujących w Polsce wykonanych z oferowanego systemu nawierzchniowego odpowiadającego wyszczególnionym parametrom,</w:t>
      </w:r>
    </w:p>
    <w:p w:rsidR="00A427FA" w:rsidRPr="009C7EDB" w:rsidRDefault="009807A3" w:rsidP="009807A3">
      <w:pPr>
        <w:pStyle w:val="Akapitzlist"/>
        <w:numPr>
          <w:ilvl w:val="0"/>
          <w:numId w:val="18"/>
        </w:numPr>
        <w:ind w:left="1134" w:hanging="425"/>
        <w:jc w:val="both"/>
        <w:rPr>
          <w:rFonts w:asciiTheme="minorHAnsi" w:hAnsiTheme="minorHAnsi"/>
          <w:b/>
        </w:rPr>
      </w:pPr>
      <w:r w:rsidRPr="009C7EDB">
        <w:rPr>
          <w:rFonts w:asciiTheme="minorHAnsi" w:hAnsiTheme="minorHAnsi"/>
        </w:rPr>
        <w:t>A</w:t>
      </w:r>
      <w:r w:rsidR="00A427FA" w:rsidRPr="009C7EDB">
        <w:rPr>
          <w:rFonts w:asciiTheme="minorHAnsi" w:hAnsiTheme="minorHAnsi"/>
        </w:rPr>
        <w:t xml:space="preserve">ktualny kompletny raport z badania na zgodność z regulacjami World </w:t>
      </w:r>
      <w:proofErr w:type="spellStart"/>
      <w:r w:rsidR="00A427FA" w:rsidRPr="009C7EDB">
        <w:rPr>
          <w:rFonts w:asciiTheme="minorHAnsi" w:hAnsiTheme="minorHAnsi"/>
        </w:rPr>
        <w:t>Athletics</w:t>
      </w:r>
      <w:proofErr w:type="spellEnd"/>
      <w:r w:rsidR="00A427FA" w:rsidRPr="009C7EDB">
        <w:rPr>
          <w:rFonts w:asciiTheme="minorHAnsi" w:hAnsiTheme="minorHAnsi"/>
        </w:rPr>
        <w:t xml:space="preserve"> (IAAF), wydany w celu uzyskania certyfikatu produktowego World </w:t>
      </w:r>
      <w:proofErr w:type="spellStart"/>
      <w:r w:rsidR="00A427FA" w:rsidRPr="009C7EDB">
        <w:rPr>
          <w:rFonts w:asciiTheme="minorHAnsi" w:hAnsiTheme="minorHAnsi"/>
        </w:rPr>
        <w:t>Athletics</w:t>
      </w:r>
      <w:proofErr w:type="spellEnd"/>
      <w:r w:rsidR="00A427FA" w:rsidRPr="009C7EDB">
        <w:rPr>
          <w:rFonts w:asciiTheme="minorHAnsi" w:hAnsiTheme="minorHAnsi"/>
        </w:rPr>
        <w:t xml:space="preserve"> (IAAF), potwierdzający wyszczególnione powyżej parametry wg World </w:t>
      </w:r>
      <w:proofErr w:type="spellStart"/>
      <w:r w:rsidR="00A427FA" w:rsidRPr="009C7EDB">
        <w:rPr>
          <w:rFonts w:asciiTheme="minorHAnsi" w:hAnsiTheme="minorHAnsi"/>
        </w:rPr>
        <w:t>Athletics</w:t>
      </w:r>
      <w:proofErr w:type="spellEnd"/>
      <w:r w:rsidR="00A427FA" w:rsidRPr="009C7EDB">
        <w:rPr>
          <w:rFonts w:asciiTheme="minorHAnsi" w:hAnsiTheme="minorHAnsi"/>
        </w:rPr>
        <w:t xml:space="preserve"> (IAAF), </w:t>
      </w:r>
    </w:p>
    <w:p w:rsidR="00A427FA" w:rsidRPr="009C7EDB" w:rsidRDefault="00A427FA" w:rsidP="009807A3">
      <w:pPr>
        <w:pStyle w:val="Akapitzlist"/>
        <w:numPr>
          <w:ilvl w:val="0"/>
          <w:numId w:val="18"/>
        </w:numPr>
        <w:ind w:left="1134" w:hanging="425"/>
        <w:jc w:val="both"/>
        <w:rPr>
          <w:rFonts w:asciiTheme="minorHAnsi" w:hAnsiTheme="minorHAnsi"/>
          <w:b/>
        </w:rPr>
      </w:pPr>
      <w:r w:rsidRPr="009C7EDB">
        <w:rPr>
          <w:rFonts w:asciiTheme="minorHAnsi" w:hAnsiTheme="minorHAnsi"/>
        </w:rPr>
        <w:t>Kompletny raport z badań odporności na zamrażanie (mrozoodporność), wykonany przez akredytowane laboratorium, potwierdzający określone wymagania.</w:t>
      </w:r>
    </w:p>
    <w:p w:rsidR="00A427FA" w:rsidRPr="009C7EDB" w:rsidRDefault="00A427FA" w:rsidP="009807A3">
      <w:pPr>
        <w:pStyle w:val="Akapitzlist"/>
        <w:numPr>
          <w:ilvl w:val="0"/>
          <w:numId w:val="18"/>
        </w:numPr>
        <w:ind w:left="1134" w:hanging="425"/>
        <w:jc w:val="both"/>
        <w:rPr>
          <w:rFonts w:asciiTheme="minorHAnsi" w:hAnsiTheme="minorHAnsi"/>
          <w:b/>
        </w:rPr>
      </w:pPr>
      <w:r w:rsidRPr="009C7EDB">
        <w:rPr>
          <w:rFonts w:asciiTheme="minorHAnsi" w:hAnsiTheme="minorHAnsi"/>
        </w:rPr>
        <w:t>Kompletny raport z badań z WWA (wielopierścieniowe węglowodory aromatyczne) potwierdzający  spełnienie wymagań zgodnie z obowiązującymi europejskimi regulacjami (REACH).   </w:t>
      </w:r>
    </w:p>
    <w:p w:rsidR="00A427FA" w:rsidRPr="009C7EDB" w:rsidRDefault="00A427FA" w:rsidP="009807A3">
      <w:pPr>
        <w:pStyle w:val="Akapitzlist"/>
        <w:numPr>
          <w:ilvl w:val="0"/>
          <w:numId w:val="18"/>
        </w:numPr>
        <w:ind w:left="1134" w:hanging="425"/>
        <w:jc w:val="both"/>
        <w:rPr>
          <w:rFonts w:asciiTheme="minorHAnsi" w:hAnsiTheme="minorHAnsi"/>
          <w:b/>
        </w:rPr>
      </w:pPr>
      <w:r w:rsidRPr="009C7EDB">
        <w:rPr>
          <w:rFonts w:asciiTheme="minorHAnsi" w:hAnsiTheme="minorHAnsi"/>
        </w:rPr>
        <w:lastRenderedPageBreak/>
        <w:t>Kompletny raport z badania na zgodność z normą PN-EN 14877: 2014 potwierdzające pozostałe niewyszczególnione parametry. Nie dopuszcza się wyników badań z różnych raportów ani zbiorczych podsumowań wyników z różnych raportów.</w:t>
      </w:r>
    </w:p>
    <w:p w:rsidR="00A427FA" w:rsidRPr="009C7EDB" w:rsidRDefault="00A427FA" w:rsidP="009807A3">
      <w:pPr>
        <w:pStyle w:val="Akapitzlist"/>
        <w:numPr>
          <w:ilvl w:val="0"/>
          <w:numId w:val="18"/>
        </w:numPr>
        <w:ind w:left="1134" w:hanging="425"/>
        <w:jc w:val="both"/>
        <w:rPr>
          <w:rFonts w:asciiTheme="minorHAnsi" w:hAnsiTheme="minorHAnsi"/>
          <w:b/>
        </w:rPr>
      </w:pPr>
      <w:r w:rsidRPr="009C7EDB">
        <w:rPr>
          <w:rFonts w:asciiTheme="minorHAnsi" w:hAnsiTheme="minorHAnsi"/>
        </w:rPr>
        <w:t>Kompletny raport z badania na zgodność z ochroną środowiska naturalnego wykonane przez niezależne laboratorium posiadające akredytację, potwierdzające wymagane wyszczególnione maksym</w:t>
      </w:r>
      <w:r w:rsidR="009807A3" w:rsidRPr="009C7EDB">
        <w:rPr>
          <w:rFonts w:asciiTheme="minorHAnsi" w:hAnsiTheme="minorHAnsi"/>
        </w:rPr>
        <w:t>alne zawartości metali ciężkich.</w:t>
      </w:r>
    </w:p>
    <w:p w:rsidR="00A427FA" w:rsidRPr="009C7EDB" w:rsidRDefault="009807A3" w:rsidP="009807A3">
      <w:pPr>
        <w:pStyle w:val="Akapitzlist"/>
        <w:numPr>
          <w:ilvl w:val="0"/>
          <w:numId w:val="18"/>
        </w:numPr>
        <w:ind w:left="1134" w:hanging="425"/>
        <w:jc w:val="both"/>
        <w:rPr>
          <w:rFonts w:asciiTheme="minorHAnsi" w:hAnsiTheme="minorHAnsi"/>
          <w:b/>
        </w:rPr>
      </w:pPr>
      <w:r w:rsidRPr="009C7EDB">
        <w:rPr>
          <w:rFonts w:asciiTheme="minorHAnsi" w:hAnsiTheme="minorHAnsi"/>
        </w:rPr>
        <w:t>Aktua</w:t>
      </w:r>
      <w:r w:rsidR="00A427FA" w:rsidRPr="009C7EDB">
        <w:rPr>
          <w:rFonts w:asciiTheme="minorHAnsi" w:hAnsiTheme="minorHAnsi"/>
        </w:rPr>
        <w:t>lny atest higi</w:t>
      </w:r>
      <w:r w:rsidRPr="009C7EDB">
        <w:rPr>
          <w:rFonts w:asciiTheme="minorHAnsi" w:hAnsiTheme="minorHAnsi"/>
        </w:rPr>
        <w:t>eniczny lub dokument równoważny.</w:t>
      </w:r>
    </w:p>
    <w:p w:rsidR="00A427FA" w:rsidRPr="009C7EDB" w:rsidRDefault="00A427FA" w:rsidP="009807A3">
      <w:pPr>
        <w:pStyle w:val="Akapitzlist"/>
        <w:numPr>
          <w:ilvl w:val="0"/>
          <w:numId w:val="18"/>
        </w:numPr>
        <w:ind w:left="1134" w:hanging="425"/>
        <w:jc w:val="both"/>
        <w:rPr>
          <w:rFonts w:asciiTheme="minorHAnsi" w:hAnsiTheme="minorHAnsi"/>
          <w:b/>
        </w:rPr>
      </w:pPr>
      <w:r w:rsidRPr="009C7EDB">
        <w:rPr>
          <w:rFonts w:asciiTheme="minorHAnsi" w:hAnsiTheme="minorHAnsi"/>
        </w:rPr>
        <w:t>Aktualny dokument potwierdzający wdrożenie przez producenta nawierzchni polityki zarządzania jakością – EN ISO 9001.</w:t>
      </w:r>
    </w:p>
    <w:p w:rsidR="00A427FA" w:rsidRPr="009C7EDB" w:rsidRDefault="00A427FA" w:rsidP="00A427FA">
      <w:pPr>
        <w:pStyle w:val="Akapitzlist"/>
        <w:jc w:val="both"/>
        <w:rPr>
          <w:rFonts w:asciiTheme="minorHAnsi" w:hAnsiTheme="minorHAnsi"/>
        </w:rPr>
      </w:pPr>
    </w:p>
    <w:sectPr w:rsidR="00A427FA" w:rsidRPr="009C7E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6D" w:rsidRDefault="00F5436D" w:rsidP="009807A3">
      <w:r>
        <w:separator/>
      </w:r>
    </w:p>
  </w:endnote>
  <w:endnote w:type="continuationSeparator" w:id="0">
    <w:p w:rsidR="00F5436D" w:rsidRDefault="00F5436D" w:rsidP="0098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6D" w:rsidRDefault="00F5436D" w:rsidP="009807A3">
      <w:r>
        <w:separator/>
      </w:r>
    </w:p>
  </w:footnote>
  <w:footnote w:type="continuationSeparator" w:id="0">
    <w:p w:rsidR="00F5436D" w:rsidRDefault="00F5436D" w:rsidP="00980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664"/>
    <w:multiLevelType w:val="hybridMultilevel"/>
    <w:tmpl w:val="6874ABA8"/>
    <w:lvl w:ilvl="0" w:tplc="04150011">
      <w:start w:val="1"/>
      <w:numFmt w:val="decimal"/>
      <w:lvlText w:val="%1)"/>
      <w:lvlJc w:val="left"/>
      <w:pPr>
        <w:ind w:left="819" w:hanging="360"/>
      </w:pPr>
      <w:rPr>
        <w:b w:val="0"/>
      </w:rPr>
    </w:lvl>
    <w:lvl w:ilvl="1" w:tplc="0415000F">
      <w:start w:val="1"/>
      <w:numFmt w:val="decimal"/>
      <w:lvlText w:val="%2."/>
      <w:lvlJc w:val="left"/>
      <w:pPr>
        <w:ind w:left="1027"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nsid w:val="0D6C1400"/>
    <w:multiLevelType w:val="hybridMultilevel"/>
    <w:tmpl w:val="16DA0A98"/>
    <w:lvl w:ilvl="0" w:tplc="C2165B3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1057008B"/>
    <w:multiLevelType w:val="hybridMultilevel"/>
    <w:tmpl w:val="63B0DE52"/>
    <w:lvl w:ilvl="0" w:tplc="196A5F50">
      <w:start w:val="1"/>
      <w:numFmt w:val="decimal"/>
      <w:lvlText w:val="%1."/>
      <w:lvlJc w:val="left"/>
      <w:pPr>
        <w:tabs>
          <w:tab w:val="num" w:pos="595"/>
        </w:tabs>
        <w:ind w:left="595" w:hanging="453"/>
      </w:pPr>
      <w:rPr>
        <w:rFonts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D8F3C98"/>
    <w:multiLevelType w:val="hybridMultilevel"/>
    <w:tmpl w:val="B0E6D8CC"/>
    <w:lvl w:ilvl="0" w:tplc="AEEC48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7D5EAA"/>
    <w:multiLevelType w:val="multilevel"/>
    <w:tmpl w:val="D3F28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1B54D3D"/>
    <w:multiLevelType w:val="multilevel"/>
    <w:tmpl w:val="B878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EE063B"/>
    <w:multiLevelType w:val="hybridMultilevel"/>
    <w:tmpl w:val="2F4CBB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4621AC"/>
    <w:multiLevelType w:val="hybridMultilevel"/>
    <w:tmpl w:val="805AA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F64DDA"/>
    <w:multiLevelType w:val="hybridMultilevel"/>
    <w:tmpl w:val="87788BBA"/>
    <w:lvl w:ilvl="0" w:tplc="6690FE20">
      <w:start w:val="1"/>
      <w:numFmt w:val="decimal"/>
      <w:lvlText w:val="%1)"/>
      <w:lvlJc w:val="left"/>
      <w:pPr>
        <w:ind w:left="717" w:hanging="360"/>
      </w:pPr>
      <w:rPr>
        <w:rFonts w:ascii="Cambria" w:hAnsi="Cambria" w:hint="default"/>
        <w:b w:val="0"/>
        <w:sz w:val="20"/>
        <w:szCs w:val="20"/>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5C493678"/>
    <w:multiLevelType w:val="hybridMultilevel"/>
    <w:tmpl w:val="03588DEC"/>
    <w:lvl w:ilvl="0" w:tplc="04150013">
      <w:start w:val="1"/>
      <w:numFmt w:val="upperRoman"/>
      <w:lvlText w:val="%1."/>
      <w:lvlJc w:val="right"/>
      <w:pPr>
        <w:ind w:left="720" w:hanging="360"/>
      </w:pPr>
    </w:lvl>
    <w:lvl w:ilvl="1" w:tplc="1FBCE0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E159D"/>
    <w:multiLevelType w:val="multilevel"/>
    <w:tmpl w:val="08DA0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7F78F3"/>
    <w:multiLevelType w:val="hybridMultilevel"/>
    <w:tmpl w:val="8B4EA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BA42DA"/>
    <w:multiLevelType w:val="hybridMultilevel"/>
    <w:tmpl w:val="57561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0E0601"/>
    <w:multiLevelType w:val="hybridMultilevel"/>
    <w:tmpl w:val="EF7AD3E4"/>
    <w:lvl w:ilvl="0" w:tplc="810880DA">
      <w:start w:val="1"/>
      <w:numFmt w:val="lowerLetter"/>
      <w:lvlText w:val="%1)"/>
      <w:lvlJc w:val="left"/>
      <w:pPr>
        <w:ind w:left="107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9033D7F"/>
    <w:multiLevelType w:val="hybridMultilevel"/>
    <w:tmpl w:val="007E1E36"/>
    <w:lvl w:ilvl="0" w:tplc="9C3E82F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180B3C"/>
    <w:multiLevelType w:val="hybridMultilevel"/>
    <w:tmpl w:val="E220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F9A122F"/>
    <w:multiLevelType w:val="hybridMultilevel"/>
    <w:tmpl w:val="AF1E8304"/>
    <w:lvl w:ilvl="0" w:tplc="A1D2A6F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4"/>
  </w:num>
  <w:num w:numId="3">
    <w:abstractNumId w:val="13"/>
  </w:num>
  <w:num w:numId="4">
    <w:abstractNumId w:val="5"/>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2"/>
  </w:num>
  <w:num w:numId="10">
    <w:abstractNumId w:val="11"/>
  </w:num>
  <w:num w:numId="11">
    <w:abstractNumId w:val="3"/>
  </w:num>
  <w:num w:numId="12">
    <w:abstractNumId w:val="8"/>
  </w:num>
  <w:num w:numId="13">
    <w:abstractNumId w:val="7"/>
  </w:num>
  <w:num w:numId="14">
    <w:abstractNumId w:val="6"/>
  </w:num>
  <w:num w:numId="15">
    <w:abstractNumId w:val="1"/>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D"/>
    <w:rsid w:val="00087E1D"/>
    <w:rsid w:val="000F7A92"/>
    <w:rsid w:val="00101CA9"/>
    <w:rsid w:val="001B6C7E"/>
    <w:rsid w:val="001D38BB"/>
    <w:rsid w:val="001D7051"/>
    <w:rsid w:val="00214604"/>
    <w:rsid w:val="0022352E"/>
    <w:rsid w:val="00393297"/>
    <w:rsid w:val="003C3AD4"/>
    <w:rsid w:val="0043305D"/>
    <w:rsid w:val="004F0263"/>
    <w:rsid w:val="00515698"/>
    <w:rsid w:val="005B4269"/>
    <w:rsid w:val="006068A5"/>
    <w:rsid w:val="00625A4A"/>
    <w:rsid w:val="00630921"/>
    <w:rsid w:val="00701766"/>
    <w:rsid w:val="00816F03"/>
    <w:rsid w:val="00870B97"/>
    <w:rsid w:val="009627EB"/>
    <w:rsid w:val="009807A3"/>
    <w:rsid w:val="009C7EDB"/>
    <w:rsid w:val="00A405AD"/>
    <w:rsid w:val="00A427FA"/>
    <w:rsid w:val="00AD575F"/>
    <w:rsid w:val="00B83D4B"/>
    <w:rsid w:val="00C44775"/>
    <w:rsid w:val="00D02926"/>
    <w:rsid w:val="00D5549D"/>
    <w:rsid w:val="00D72A5F"/>
    <w:rsid w:val="00D7354C"/>
    <w:rsid w:val="00D94A69"/>
    <w:rsid w:val="00DD4273"/>
    <w:rsid w:val="00DE0156"/>
    <w:rsid w:val="00E0439D"/>
    <w:rsid w:val="00E6502B"/>
    <w:rsid w:val="00F15B40"/>
    <w:rsid w:val="00F54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B97"/>
    <w:pPr>
      <w:spacing w:line="240" w:lineRule="auto"/>
    </w:pPr>
    <w:rPr>
      <w:rFonts w:eastAsia="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870B97"/>
    <w:pPr>
      <w:spacing w:before="100" w:beforeAutospacing="1" w:after="100" w:afterAutospacing="1"/>
    </w:pPr>
    <w:rPr>
      <w:rFonts w:eastAsia="Times New Roman"/>
      <w:szCs w:val="24"/>
      <w:lang w:eastAsia="pl-PL"/>
    </w:rPr>
  </w:style>
  <w:style w:type="paragraph" w:styleId="Akapitzlist">
    <w:name w:val="List Paragraph"/>
    <w:aliases w:val="L1,Numerowanie,2 heading,A_wyliczenie,K-P_odwolanie,Akapit z listą5,maz_wyliczenie,opis dzialania,CW_Lista"/>
    <w:basedOn w:val="Normalny"/>
    <w:link w:val="AkapitzlistZnak"/>
    <w:uiPriority w:val="34"/>
    <w:qFormat/>
    <w:rsid w:val="00870B97"/>
    <w:pPr>
      <w:ind w:left="720"/>
      <w:contextualSpacing/>
    </w:pPr>
    <w:rPr>
      <w:rFonts w:eastAsia="Times New Roman"/>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34"/>
    <w:locked/>
    <w:rsid w:val="00870B97"/>
    <w:rPr>
      <w:rFonts w:eastAsia="Times New Roman" w:cs="Times New Roman"/>
      <w:szCs w:val="24"/>
      <w:lang w:eastAsia="pl-PL"/>
    </w:rPr>
  </w:style>
  <w:style w:type="paragraph" w:styleId="Tekstdymka">
    <w:name w:val="Balloon Text"/>
    <w:basedOn w:val="Normalny"/>
    <w:link w:val="TekstdymkaZnak"/>
    <w:uiPriority w:val="99"/>
    <w:semiHidden/>
    <w:unhideWhenUsed/>
    <w:rsid w:val="00214604"/>
    <w:rPr>
      <w:rFonts w:ascii="Tahoma" w:hAnsi="Tahoma" w:cs="Tahoma"/>
      <w:sz w:val="16"/>
      <w:szCs w:val="16"/>
    </w:rPr>
  </w:style>
  <w:style w:type="character" w:customStyle="1" w:styleId="TekstdymkaZnak">
    <w:name w:val="Tekst dymka Znak"/>
    <w:basedOn w:val="Domylnaczcionkaakapitu"/>
    <w:link w:val="Tekstdymka"/>
    <w:uiPriority w:val="99"/>
    <w:semiHidden/>
    <w:rsid w:val="00214604"/>
    <w:rPr>
      <w:rFonts w:ascii="Tahoma" w:eastAsia="Calibri" w:hAnsi="Tahoma" w:cs="Tahoma"/>
      <w:sz w:val="16"/>
      <w:szCs w:val="16"/>
    </w:rPr>
  </w:style>
  <w:style w:type="paragraph" w:styleId="Tekstpodstawowy">
    <w:name w:val="Body Text"/>
    <w:aliases w:val="Brødtekst Tegn Tegn"/>
    <w:basedOn w:val="Normalny"/>
    <w:link w:val="TekstpodstawowyZnak"/>
    <w:uiPriority w:val="99"/>
    <w:rsid w:val="001D38BB"/>
    <w:pPr>
      <w:spacing w:before="200" w:after="120" w:line="276" w:lineRule="auto"/>
    </w:pPr>
    <w:rPr>
      <w:rFonts w:ascii="Calibri" w:eastAsia="Times New Roman" w:hAnsi="Calibri"/>
      <w:sz w:val="20"/>
      <w:szCs w:val="20"/>
      <w:lang w:bidi="en-US"/>
    </w:rPr>
  </w:style>
  <w:style w:type="character" w:customStyle="1" w:styleId="TekstpodstawowyZnak">
    <w:name w:val="Tekst podstawowy Znak"/>
    <w:aliases w:val="Brødtekst Tegn Tegn Znak"/>
    <w:basedOn w:val="Domylnaczcionkaakapitu"/>
    <w:link w:val="Tekstpodstawowy"/>
    <w:uiPriority w:val="99"/>
    <w:rsid w:val="001D38BB"/>
    <w:rPr>
      <w:rFonts w:ascii="Calibri" w:eastAsia="Times New Roman" w:hAnsi="Calibri" w:cs="Times New Roman"/>
      <w:sz w:val="20"/>
      <w:szCs w:val="20"/>
      <w:lang w:bidi="en-US"/>
    </w:rPr>
  </w:style>
  <w:style w:type="paragraph" w:styleId="Nagwek">
    <w:name w:val="header"/>
    <w:basedOn w:val="Normalny"/>
    <w:link w:val="NagwekZnak"/>
    <w:uiPriority w:val="99"/>
    <w:unhideWhenUsed/>
    <w:rsid w:val="009807A3"/>
    <w:pPr>
      <w:tabs>
        <w:tab w:val="center" w:pos="4536"/>
        <w:tab w:val="right" w:pos="9072"/>
      </w:tabs>
    </w:pPr>
  </w:style>
  <w:style w:type="character" w:customStyle="1" w:styleId="NagwekZnak">
    <w:name w:val="Nagłówek Znak"/>
    <w:basedOn w:val="Domylnaczcionkaakapitu"/>
    <w:link w:val="Nagwek"/>
    <w:uiPriority w:val="99"/>
    <w:rsid w:val="009807A3"/>
    <w:rPr>
      <w:rFonts w:eastAsia="Calibri" w:cs="Times New Roman"/>
    </w:rPr>
  </w:style>
  <w:style w:type="paragraph" w:styleId="Stopka">
    <w:name w:val="footer"/>
    <w:basedOn w:val="Normalny"/>
    <w:link w:val="StopkaZnak"/>
    <w:uiPriority w:val="99"/>
    <w:unhideWhenUsed/>
    <w:rsid w:val="009807A3"/>
    <w:pPr>
      <w:tabs>
        <w:tab w:val="center" w:pos="4536"/>
        <w:tab w:val="right" w:pos="9072"/>
      </w:tabs>
    </w:pPr>
  </w:style>
  <w:style w:type="character" w:customStyle="1" w:styleId="StopkaZnak">
    <w:name w:val="Stopka Znak"/>
    <w:basedOn w:val="Domylnaczcionkaakapitu"/>
    <w:link w:val="Stopka"/>
    <w:uiPriority w:val="99"/>
    <w:rsid w:val="009807A3"/>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B97"/>
    <w:pPr>
      <w:spacing w:line="240" w:lineRule="auto"/>
    </w:pPr>
    <w:rPr>
      <w:rFonts w:eastAsia="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870B97"/>
    <w:pPr>
      <w:spacing w:before="100" w:beforeAutospacing="1" w:after="100" w:afterAutospacing="1"/>
    </w:pPr>
    <w:rPr>
      <w:rFonts w:eastAsia="Times New Roman"/>
      <w:szCs w:val="24"/>
      <w:lang w:eastAsia="pl-PL"/>
    </w:rPr>
  </w:style>
  <w:style w:type="paragraph" w:styleId="Akapitzlist">
    <w:name w:val="List Paragraph"/>
    <w:aliases w:val="L1,Numerowanie,2 heading,A_wyliczenie,K-P_odwolanie,Akapit z listą5,maz_wyliczenie,opis dzialania,CW_Lista"/>
    <w:basedOn w:val="Normalny"/>
    <w:link w:val="AkapitzlistZnak"/>
    <w:uiPriority w:val="34"/>
    <w:qFormat/>
    <w:rsid w:val="00870B97"/>
    <w:pPr>
      <w:ind w:left="720"/>
      <w:contextualSpacing/>
    </w:pPr>
    <w:rPr>
      <w:rFonts w:eastAsia="Times New Roman"/>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34"/>
    <w:locked/>
    <w:rsid w:val="00870B97"/>
    <w:rPr>
      <w:rFonts w:eastAsia="Times New Roman" w:cs="Times New Roman"/>
      <w:szCs w:val="24"/>
      <w:lang w:eastAsia="pl-PL"/>
    </w:rPr>
  </w:style>
  <w:style w:type="paragraph" w:styleId="Tekstdymka">
    <w:name w:val="Balloon Text"/>
    <w:basedOn w:val="Normalny"/>
    <w:link w:val="TekstdymkaZnak"/>
    <w:uiPriority w:val="99"/>
    <w:semiHidden/>
    <w:unhideWhenUsed/>
    <w:rsid w:val="00214604"/>
    <w:rPr>
      <w:rFonts w:ascii="Tahoma" w:hAnsi="Tahoma" w:cs="Tahoma"/>
      <w:sz w:val="16"/>
      <w:szCs w:val="16"/>
    </w:rPr>
  </w:style>
  <w:style w:type="character" w:customStyle="1" w:styleId="TekstdymkaZnak">
    <w:name w:val="Tekst dymka Znak"/>
    <w:basedOn w:val="Domylnaczcionkaakapitu"/>
    <w:link w:val="Tekstdymka"/>
    <w:uiPriority w:val="99"/>
    <w:semiHidden/>
    <w:rsid w:val="00214604"/>
    <w:rPr>
      <w:rFonts w:ascii="Tahoma" w:eastAsia="Calibri" w:hAnsi="Tahoma" w:cs="Tahoma"/>
      <w:sz w:val="16"/>
      <w:szCs w:val="16"/>
    </w:rPr>
  </w:style>
  <w:style w:type="paragraph" w:styleId="Tekstpodstawowy">
    <w:name w:val="Body Text"/>
    <w:aliases w:val="Brødtekst Tegn Tegn"/>
    <w:basedOn w:val="Normalny"/>
    <w:link w:val="TekstpodstawowyZnak"/>
    <w:uiPriority w:val="99"/>
    <w:rsid w:val="001D38BB"/>
    <w:pPr>
      <w:spacing w:before="200" w:after="120" w:line="276" w:lineRule="auto"/>
    </w:pPr>
    <w:rPr>
      <w:rFonts w:ascii="Calibri" w:eastAsia="Times New Roman" w:hAnsi="Calibri"/>
      <w:sz w:val="20"/>
      <w:szCs w:val="20"/>
      <w:lang w:bidi="en-US"/>
    </w:rPr>
  </w:style>
  <w:style w:type="character" w:customStyle="1" w:styleId="TekstpodstawowyZnak">
    <w:name w:val="Tekst podstawowy Znak"/>
    <w:aliases w:val="Brødtekst Tegn Tegn Znak"/>
    <w:basedOn w:val="Domylnaczcionkaakapitu"/>
    <w:link w:val="Tekstpodstawowy"/>
    <w:uiPriority w:val="99"/>
    <w:rsid w:val="001D38BB"/>
    <w:rPr>
      <w:rFonts w:ascii="Calibri" w:eastAsia="Times New Roman" w:hAnsi="Calibri" w:cs="Times New Roman"/>
      <w:sz w:val="20"/>
      <w:szCs w:val="20"/>
      <w:lang w:bidi="en-US"/>
    </w:rPr>
  </w:style>
  <w:style w:type="paragraph" w:styleId="Nagwek">
    <w:name w:val="header"/>
    <w:basedOn w:val="Normalny"/>
    <w:link w:val="NagwekZnak"/>
    <w:uiPriority w:val="99"/>
    <w:unhideWhenUsed/>
    <w:rsid w:val="009807A3"/>
    <w:pPr>
      <w:tabs>
        <w:tab w:val="center" w:pos="4536"/>
        <w:tab w:val="right" w:pos="9072"/>
      </w:tabs>
    </w:pPr>
  </w:style>
  <w:style w:type="character" w:customStyle="1" w:styleId="NagwekZnak">
    <w:name w:val="Nagłówek Znak"/>
    <w:basedOn w:val="Domylnaczcionkaakapitu"/>
    <w:link w:val="Nagwek"/>
    <w:uiPriority w:val="99"/>
    <w:rsid w:val="009807A3"/>
    <w:rPr>
      <w:rFonts w:eastAsia="Calibri" w:cs="Times New Roman"/>
    </w:rPr>
  </w:style>
  <w:style w:type="paragraph" w:styleId="Stopka">
    <w:name w:val="footer"/>
    <w:basedOn w:val="Normalny"/>
    <w:link w:val="StopkaZnak"/>
    <w:uiPriority w:val="99"/>
    <w:unhideWhenUsed/>
    <w:rsid w:val="009807A3"/>
    <w:pPr>
      <w:tabs>
        <w:tab w:val="center" w:pos="4536"/>
        <w:tab w:val="right" w:pos="9072"/>
      </w:tabs>
    </w:pPr>
  </w:style>
  <w:style w:type="character" w:customStyle="1" w:styleId="StopkaZnak">
    <w:name w:val="Stopka Znak"/>
    <w:basedOn w:val="Domylnaczcionkaakapitu"/>
    <w:link w:val="Stopka"/>
    <w:uiPriority w:val="99"/>
    <w:rsid w:val="009807A3"/>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F9DE-7CC6-45D7-9DBB-2FC22E25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2376</Words>
  <Characters>14256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22</cp:revision>
  <cp:lastPrinted>2021-05-20T11:05:00Z</cp:lastPrinted>
  <dcterms:created xsi:type="dcterms:W3CDTF">2021-03-23T08:13:00Z</dcterms:created>
  <dcterms:modified xsi:type="dcterms:W3CDTF">2021-06-04T12:23:00Z</dcterms:modified>
</cp:coreProperties>
</file>