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9ED8" w14:textId="77777777" w:rsidR="000B450B" w:rsidRPr="002E547D" w:rsidRDefault="000B450B" w:rsidP="000B450B">
      <w:pPr>
        <w:rPr>
          <w:noProof/>
        </w:rPr>
      </w:pPr>
      <w:r w:rsidRPr="002E547D">
        <w:rPr>
          <w:noProof/>
        </w:rPr>
        <w:drawing>
          <wp:anchor distT="0" distB="0" distL="114300" distR="114300" simplePos="0" relativeHeight="251659264" behindDoc="1" locked="0" layoutInCell="1" allowOverlap="1" wp14:anchorId="2C80FEBE" wp14:editId="2CA6E6EC">
            <wp:simplePos x="0" y="0"/>
            <wp:positionH relativeFrom="page">
              <wp:posOffset>3647440</wp:posOffset>
            </wp:positionH>
            <wp:positionV relativeFrom="paragraph">
              <wp:posOffset>95250</wp:posOffset>
            </wp:positionV>
            <wp:extent cx="61785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45" y="21123"/>
                <wp:lineTo x="20645" y="0"/>
                <wp:lineTo x="0" y="0"/>
              </wp:wrapPolygon>
            </wp:wrapTight>
            <wp:docPr id="6" name="Obraz 6" descr="C:\Users\Marta\Downloads\logo LEADER (1)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logo LEADER (1)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47D">
        <w:rPr>
          <w:noProof/>
        </w:rPr>
        <w:t xml:space="preserve">                   </w:t>
      </w:r>
      <w:r w:rsidRPr="002E547D">
        <w:rPr>
          <w:noProof/>
        </w:rPr>
        <w:drawing>
          <wp:inline distT="0" distB="0" distL="0" distR="0" wp14:anchorId="455BDF4F" wp14:editId="7092B256">
            <wp:extent cx="783590" cy="532409"/>
            <wp:effectExtent l="0" t="0" r="0" b="1270"/>
            <wp:docPr id="4" name="Obraz 4" descr="C:\Users\Edyta\Desktop\zamówienia publiczne\2017\1.  Droga Barcikowo-Knopin\PROW-2014-2020-logo-kolor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zamówienia publiczne\2017\1.  Droga Barcikowo-Knopin\PROW-2014-2020-logo-kolor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2" cy="5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7D">
        <w:rPr>
          <w:noProof/>
        </w:rPr>
        <w:t xml:space="preserve">                                                  </w:t>
      </w:r>
      <w:r w:rsidRPr="002E547D">
        <w:rPr>
          <w:noProof/>
        </w:rPr>
        <w:tab/>
        <w:t xml:space="preserve">                    </w:t>
      </w:r>
      <w:r w:rsidRPr="002E547D">
        <w:rPr>
          <w:noProof/>
        </w:rPr>
        <w:drawing>
          <wp:inline distT="0" distB="0" distL="0" distR="0" wp14:anchorId="46D088E0" wp14:editId="491FC820">
            <wp:extent cx="945980" cy="619041"/>
            <wp:effectExtent l="0" t="0" r="6985" b="0"/>
            <wp:docPr id="2" name="Obraz 2" descr="C:\Users\Edyta\Desktop\zamówienia publiczne\2017\1.  Droga Barcikowo-Knopin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zamówienia publiczne\2017\1.  Droga Barcikowo-Knopin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7" cy="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7D">
        <w:rPr>
          <w:noProof/>
        </w:rPr>
        <w:t xml:space="preserve">               </w:t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  <w:t xml:space="preserve">  </w:t>
      </w:r>
      <w:r w:rsidRPr="002E547D">
        <w:rPr>
          <w:noProof/>
        </w:rPr>
        <w:tab/>
      </w:r>
      <w:r w:rsidRPr="002E547D">
        <w:rPr>
          <w:noProof/>
        </w:rPr>
        <w:tab/>
      </w:r>
      <w:r w:rsidRPr="002E547D">
        <w:rPr>
          <w:noProof/>
        </w:rPr>
        <w:tab/>
      </w:r>
    </w:p>
    <w:p w14:paraId="7AC68248" w14:textId="73B82C59" w:rsidR="000B450B" w:rsidRPr="002E547D" w:rsidRDefault="000B450B" w:rsidP="000B45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547D">
        <w:rPr>
          <w:rFonts w:asciiTheme="minorHAnsi" w:hAnsiTheme="minorHAnsi" w:cstheme="minorHAnsi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B8A4A84" w14:textId="77777777" w:rsidR="000B450B" w:rsidRPr="002E547D" w:rsidRDefault="000B450B" w:rsidP="000B450B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E5965" w14:textId="58425217" w:rsidR="00D57951" w:rsidRPr="002E547D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2E547D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2E547D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2E547D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2E547D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77C7C6D7" w:rsidR="00D57951" w:rsidRPr="002E547D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605</w:t>
      </w:r>
      <w:r w:rsidR="00BF60FC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ze zm.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) – dalej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>, o następującej treści:</w:t>
      </w:r>
    </w:p>
    <w:p w14:paraId="2BD92720" w14:textId="3FC81EED" w:rsidR="00BF60FC" w:rsidRPr="002E547D" w:rsidRDefault="00BF60FC" w:rsidP="00BF60FC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§ 1 ust. 3 pkt 2 lub 3 </w:t>
      </w:r>
    </w:p>
    <w:p w14:paraId="3D2794F7" w14:textId="77777777" w:rsidR="00D57951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475FDDD" w14:textId="4DE1178C" w:rsidR="00E20E56" w:rsidRPr="002E547D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2E547D">
        <w:rPr>
          <w:rFonts w:asciiTheme="minorHAnsi" w:hAnsiTheme="minorHAnsi" w:cstheme="minorHAnsi"/>
        </w:rPr>
        <w:t>Przedmiotem umowy jest „</w:t>
      </w:r>
      <w:r w:rsidRPr="002E547D">
        <w:rPr>
          <w:rFonts w:asciiTheme="minorHAnsi" w:hAnsiTheme="minorHAnsi" w:cstheme="minorHAnsi"/>
          <w:b/>
          <w:bCs/>
        </w:rPr>
        <w:t>Zagospodarowanie przestrzeni publicznej w rejonie ul. Warszawskiej  – budowa kładki pieszej Warmiński Mostek</w:t>
      </w:r>
      <w:r w:rsidRPr="002E547D">
        <w:rPr>
          <w:rFonts w:asciiTheme="minorHAnsi" w:hAnsiTheme="minorHAnsi" w:cstheme="minorHAnsi"/>
        </w:rPr>
        <w:t>”.</w:t>
      </w:r>
    </w:p>
    <w:p w14:paraId="6D9905D6" w14:textId="77777777" w:rsidR="00E20E56" w:rsidRPr="002E547D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 xml:space="preserve">Inwestycja zlokalizowana jest na działkach o nr  geod. </w:t>
      </w:r>
      <w:r w:rsidRPr="002E547D">
        <w:rPr>
          <w:rFonts w:asciiTheme="minorHAnsi" w:hAnsiTheme="minorHAnsi" w:cstheme="minorHAnsi"/>
          <w:spacing w:val="-2"/>
        </w:rPr>
        <w:t>101, 102/24, 86/22 obręb 1 miasta Dobre Miasto, gmina Dobre Miasto – dostęp do terenu inwestycji jest z ul. Jana Pawła II – droga gminna nr 160508N (wschodnia strona rzeki Łyny).</w:t>
      </w:r>
    </w:p>
    <w:p w14:paraId="40BAA54C" w14:textId="77777777" w:rsidR="00C422F0" w:rsidRPr="00361C1D" w:rsidRDefault="00C422F0" w:rsidP="00C422F0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361C1D">
        <w:rPr>
          <w:rFonts w:asciiTheme="minorHAnsi" w:hAnsiTheme="minorHAnsi" w:cstheme="minorHAnsi"/>
          <w:spacing w:val="-2"/>
        </w:rPr>
        <w:t>Do obowiązków Wykonawcy będzie należało:</w:t>
      </w:r>
    </w:p>
    <w:p w14:paraId="5364211C" w14:textId="77777777" w:rsidR="00C422F0" w:rsidRPr="00361C1D" w:rsidRDefault="00C422F0" w:rsidP="00C422F0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361C1D">
        <w:rPr>
          <w:rFonts w:asciiTheme="minorHAnsi" w:hAnsiTheme="minorHAnsi" w:cstheme="minorHAnsi"/>
          <w:spacing w:val="-2"/>
        </w:rPr>
        <w:t>Realizacja przedmiotu umowy zgodnie ze złożoną ofertą, projektem budowlano-wykonawczym, decyzją o pozwoleniu na budowę nr DB/46/2021 z dnia 20.10.2021 r., przedmiarami robót oraz sztuką i wiedzą budowlaną.</w:t>
      </w:r>
    </w:p>
    <w:p w14:paraId="43571A78" w14:textId="77777777" w:rsidR="00C422F0" w:rsidRPr="00361C1D" w:rsidRDefault="00C422F0" w:rsidP="00C422F0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361C1D">
        <w:rPr>
          <w:rFonts w:asciiTheme="minorHAnsi" w:hAnsiTheme="minorHAnsi" w:cstheme="minorHAnsi"/>
          <w:spacing w:val="-2"/>
        </w:rPr>
        <w:t xml:space="preserve">Dopuszcza się zmianę konstrukcji kładki </w:t>
      </w:r>
      <w:r w:rsidRPr="00361C1D">
        <w:rPr>
          <w:rFonts w:asciiTheme="minorHAnsi" w:hAnsiTheme="minorHAnsi" w:cstheme="minorHAnsi"/>
        </w:rPr>
        <w:t xml:space="preserve">na kompozytową według projektu zamiennego ujętego w załączniku nr 9 do SWZ. </w:t>
      </w:r>
    </w:p>
    <w:p w14:paraId="1D2537C2" w14:textId="3CA66B7A" w:rsidR="00C422F0" w:rsidRPr="00C422F0" w:rsidRDefault="00C422F0" w:rsidP="00C422F0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361C1D">
        <w:rPr>
          <w:rFonts w:asciiTheme="minorHAnsi" w:hAnsiTheme="minorHAnsi" w:cstheme="minorHAnsi"/>
          <w:spacing w:val="-2"/>
        </w:rPr>
        <w:t xml:space="preserve">Spełnienie obowiązków wynikających z pozwolenia Warmińsko-Mazurskiego Wojewódzkiego Konserwatora Zabytków w Olsztynie znak: IZNR.5142.2020.2021.at z 27.04.2021 r. lub </w:t>
      </w:r>
      <w:r w:rsidRPr="00361C1D">
        <w:rPr>
          <w:rFonts w:asciiTheme="minorHAnsi" w:hAnsiTheme="minorHAnsi" w:cstheme="minorHAnsi"/>
        </w:rPr>
        <w:t xml:space="preserve">pozwolenia </w:t>
      </w:r>
      <w:r w:rsidRPr="00361C1D">
        <w:rPr>
          <w:rFonts w:asciiTheme="minorHAnsi" w:hAnsiTheme="minorHAnsi" w:cstheme="minorHAnsi"/>
          <w:spacing w:val="-2"/>
        </w:rPr>
        <w:t>Warmińsko-Mazurskiego Wojewódzkiego Konserwatora Zabytków w Olsztynie znak: IZNR.5142.530.2023.lw z 04.10.2023 r.</w:t>
      </w:r>
      <w:r>
        <w:rPr>
          <w:rFonts w:asciiTheme="minorHAnsi" w:hAnsiTheme="minorHAnsi" w:cstheme="minorHAnsi"/>
          <w:spacing w:val="-2"/>
        </w:rPr>
        <w:t xml:space="preserve"> </w:t>
      </w:r>
      <w:r w:rsidRPr="00C422F0">
        <w:rPr>
          <w:rFonts w:asciiTheme="minorHAnsi" w:hAnsiTheme="minorHAnsi" w:cstheme="minorHAnsi"/>
          <w:spacing w:val="-2"/>
        </w:rPr>
        <w:t xml:space="preserve">(część terenu </w:t>
      </w:r>
      <w:r w:rsidRPr="00C422F0">
        <w:rPr>
          <w:rFonts w:asciiTheme="minorHAnsi" w:hAnsiTheme="minorHAnsi" w:cstheme="minorHAnsi"/>
          <w:spacing w:val="-2"/>
        </w:rPr>
        <w:lastRenderedPageBreak/>
        <w:t>inwestycji objęta jest ochroną konserwatorską (archeologiczną), położona na obszarze nawarstwień kulturowych starego miasta i wpisana do rejestru zabytków archeologicznych pod numerem C-146, oraz część obszaru układu urbanistycznego wpisana do rejestru zabytków nieruchomych pod numerem A-416.</w:t>
      </w:r>
      <w:r>
        <w:rPr>
          <w:rStyle w:val="Odwoanieprzypisudolnego"/>
          <w:rFonts w:asciiTheme="minorHAnsi" w:hAnsiTheme="minorHAnsi" w:cstheme="minorHAnsi"/>
          <w:spacing w:val="-2"/>
        </w:rPr>
        <w:footnoteReference w:id="1"/>
      </w:r>
    </w:p>
    <w:p w14:paraId="7226EEB9" w14:textId="168A06AC" w:rsidR="00E20E56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>Szczegółowy opis przedmiotu zamówienia został określony w dokumentacji technicznej stanowiącej załącznik nr 9 do SWZ.</w:t>
      </w:r>
    </w:p>
    <w:bookmarkEnd w:id="1"/>
    <w:bookmarkEnd w:id="2"/>
    <w:p w14:paraId="29018EA2" w14:textId="711F1A39" w:rsidR="00D57951" w:rsidRPr="002E547D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5FBD4C8A" w:rsidR="00D57951" w:rsidRPr="002E547D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2E547D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2378A4A" w14:textId="25B32EB1" w:rsidR="00E20E56" w:rsidRPr="002E547D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2E547D">
        <w:rPr>
          <w:rFonts w:asciiTheme="minorHAnsi" w:hAnsiTheme="minorHAnsi" w:cstheme="minorHAnsi"/>
        </w:rPr>
        <w:t xml:space="preserve">Zamawiający oświadcza,  że przedmiot umowy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jest współfinansowany w ramach </w:t>
      </w:r>
      <w:r w:rsidRPr="002E547D">
        <w:rPr>
          <w:rFonts w:asciiTheme="minorHAnsi" w:hAnsiTheme="minorHAnsi" w:cstheme="minorHAnsi"/>
        </w:rPr>
        <w:t xml:space="preserve">podziałania „Wsparcie na wdrożenie operacji w ramach strategii rozwoju lokalnego kierowanego przez społeczność” w ramach działania „Wsparcie dla rozwoju lokalnego w ramach inicjatywy LEADER” objętego Programem </w:t>
      </w:r>
      <w:r w:rsidRPr="002E547D">
        <w:rPr>
          <w:rFonts w:asciiTheme="minorHAnsi" w:hAnsiTheme="minorHAnsi" w:cstheme="minorHAnsi"/>
          <w:color w:val="000000"/>
        </w:rPr>
        <w:t xml:space="preserve">Rozwoju Obszarów Wiejskich na lata 2014-2020, 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przyjmuje do wiadomości niniejszą informację i zobowiązuje się do przestrzegania wymogów z tego wynikających.</w:t>
      </w:r>
    </w:p>
    <w:p w14:paraId="0F50B098" w14:textId="77777777" w:rsidR="00E20E56" w:rsidRPr="002E547D" w:rsidRDefault="00E20E56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644E2C58" w14:textId="41706147" w:rsidR="00D57951" w:rsidRPr="002E547D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711409AC" w:rsidR="00D57951" w:rsidRPr="002E547D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2E547D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2E547D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DE1BE9" w:rsidRPr="002E547D">
        <w:rPr>
          <w:rFonts w:asciiTheme="minorHAnsi" w:hAnsiTheme="minorHAnsi" w:cstheme="minorHAnsi"/>
          <w:b/>
          <w:bCs/>
          <w:szCs w:val="24"/>
        </w:rPr>
        <w:t>2</w:t>
      </w:r>
      <w:r w:rsidR="00BF60FC" w:rsidRPr="002E547D">
        <w:rPr>
          <w:rFonts w:asciiTheme="minorHAnsi" w:hAnsiTheme="minorHAnsi" w:cstheme="minorHAnsi"/>
          <w:b/>
          <w:bCs/>
          <w:szCs w:val="24"/>
        </w:rPr>
        <w:t>8</w:t>
      </w:r>
      <w:r w:rsidR="00FD39D9" w:rsidRPr="002E547D">
        <w:rPr>
          <w:rFonts w:asciiTheme="minorHAnsi" w:hAnsiTheme="minorHAnsi" w:cstheme="minorHAnsi"/>
          <w:b/>
          <w:bCs/>
          <w:szCs w:val="24"/>
        </w:rPr>
        <w:t xml:space="preserve"> listopada </w:t>
      </w:r>
      <w:r w:rsidR="00945B02" w:rsidRPr="002E547D">
        <w:rPr>
          <w:rFonts w:asciiTheme="minorHAnsi" w:hAnsiTheme="minorHAnsi" w:cstheme="minorHAnsi"/>
          <w:b/>
          <w:bCs/>
          <w:szCs w:val="24"/>
        </w:rPr>
        <w:t xml:space="preserve">2023 r. </w:t>
      </w:r>
    </w:p>
    <w:p w14:paraId="30658564" w14:textId="17889BB5" w:rsidR="00C422F0" w:rsidRPr="00361C1D" w:rsidRDefault="00C422F0" w:rsidP="00C422F0">
      <w:pPr>
        <w:pStyle w:val="pkt"/>
        <w:numPr>
          <w:ilvl w:val="0"/>
          <w:numId w:val="31"/>
        </w:numPr>
        <w:tabs>
          <w:tab w:val="left" w:pos="3119"/>
        </w:tabs>
        <w:spacing w:before="0" w:after="0"/>
        <w:ind w:left="425" w:hanging="425"/>
        <w:rPr>
          <w:rFonts w:asciiTheme="minorHAnsi" w:hAnsiTheme="minorHAnsi" w:cstheme="minorHAnsi"/>
          <w:b/>
          <w:bCs/>
          <w:szCs w:val="24"/>
        </w:rPr>
      </w:pPr>
      <w:r w:rsidRPr="00361C1D">
        <w:rPr>
          <w:rFonts w:asciiTheme="minorHAnsi" w:hAnsiTheme="minorHAnsi" w:cstheme="minorHAnsi"/>
        </w:rPr>
        <w:t>Za termin wykonania przedmiotu zamówienia uważa się datę podpisania przez Zamawiającego protokołu końcowego odbioru robót przed uzyskaniem pozwolenia na użytkowanie, zgodnie z obowiązującymi przepisami prawa w ustawowym terminie.</w:t>
      </w:r>
    </w:p>
    <w:p w14:paraId="43E4165C" w14:textId="77777777" w:rsidR="00C422F0" w:rsidRDefault="00C422F0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41F6518" w14:textId="77777777" w:rsidR="00C422F0" w:rsidRPr="002E547D" w:rsidRDefault="00C422F0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2E547D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2E547D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2E547D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2E547D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Do sprawowania kontroli realizacji przedmiotu umowy Zamawiający ustanowi inspektora nadzoru inwestorskiego. </w:t>
      </w:r>
    </w:p>
    <w:p w14:paraId="2C99049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2E547D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przejęcie terenu budowy od Zamawiającego,</w:t>
      </w:r>
    </w:p>
    <w:p w14:paraId="3FD8189B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048E5421" w:rsidR="00D57951" w:rsidRPr="002E547D" w:rsidRDefault="00D57951" w:rsidP="008A3A36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wykonanie przedmiotu umowy z materiałów odpowiadających wymaganiom określonym w art. 10 ustawy z dnia 7 lipca 1994 r. Prawo budowlane (tj. Dz. U. z 202</w:t>
      </w:r>
      <w:r w:rsidR="008A3A36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3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poz. </w:t>
      </w:r>
      <w:r w:rsidR="008A3A36" w:rsidRPr="002E547D">
        <w:rPr>
          <w:rFonts w:asciiTheme="minorHAnsi" w:eastAsia="Times New Roman" w:hAnsiTheme="minorHAnsi" w:cstheme="minorHAnsi"/>
          <w:szCs w:val="24"/>
          <w:lang w:eastAsia="pl-PL"/>
        </w:rPr>
        <w:t>682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2E547D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5BA8491" w:rsidR="00D57951" w:rsidRPr="002E547D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FC758E" w:rsidRPr="002E547D">
        <w:rPr>
          <w:rFonts w:asciiTheme="minorHAnsi" w:eastAsia="Times New Roman" w:hAnsiTheme="minorHAnsi" w:cstheme="minorHAnsi"/>
          <w:szCs w:val="24"/>
          <w:lang w:eastAsia="pl-PL"/>
        </w:rPr>
        <w:t>1587</w:t>
      </w:r>
      <w:r w:rsidR="00DA77CD">
        <w:rPr>
          <w:rFonts w:asciiTheme="minorHAnsi" w:eastAsia="Times New Roman" w:hAnsiTheme="minorHAnsi" w:cstheme="minorHAnsi"/>
          <w:szCs w:val="24"/>
          <w:lang w:eastAsia="pl-PL"/>
        </w:rPr>
        <w:t xml:space="preserve"> ze zm.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);</w:t>
      </w:r>
    </w:p>
    <w:p w14:paraId="7CA24F21" w14:textId="77777777" w:rsidR="00D57951" w:rsidRPr="002E547D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zabezpieczenie instalacji, urządzeń i obiektów na terenie robót i w jej bezpośrednim otoczeniu, przed ich zniszczeniem lub uszkodzeniem w trakcie wykonywania robót oraz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naprawa uszkodzonych przy prowadzeniu robót budowlanych, istniejących obiektów i elementów zagospodarowania terenu,</w:t>
      </w:r>
    </w:p>
    <w:p w14:paraId="23CC1C32" w14:textId="77777777" w:rsidR="00D57951" w:rsidRPr="002E547D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260D306F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2E547D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2E547D" w:rsidRDefault="00D57951">
      <w:pPr>
        <w:numPr>
          <w:ilvl w:val="0"/>
          <w:numId w:val="4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2E547D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790EEC8B" w14:textId="77777777" w:rsidR="00DE31AF" w:rsidRPr="002E547D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>wykonanie i zainstalowanie w miejscu realizacji inwestycji uzgodnionym z Zamawiającym tablicy informacyjnej o zrealizowaniu zadania przy współudziale środków</w:t>
      </w:r>
    </w:p>
    <w:p w14:paraId="022C591B" w14:textId="77DF8669" w:rsidR="00D57951" w:rsidRPr="002E547D" w:rsidRDefault="00526F7E" w:rsidP="00DE31AF">
      <w:pPr>
        <w:tabs>
          <w:tab w:val="left" w:pos="851"/>
          <w:tab w:val="left" w:pos="3544"/>
        </w:tabs>
        <w:spacing w:line="240" w:lineRule="auto"/>
        <w:ind w:left="850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hAnsiTheme="minorHAnsi" w:cstheme="minorHAnsi"/>
        </w:rPr>
        <w:t xml:space="preserve">z </w:t>
      </w:r>
      <w:r w:rsidR="00DE31AF" w:rsidRPr="002E547D">
        <w:rPr>
          <w:rFonts w:asciiTheme="minorHAnsi" w:hAnsiTheme="minorHAnsi" w:cstheme="minorHAnsi"/>
        </w:rPr>
        <w:t>Program</w:t>
      </w:r>
      <w:r w:rsidRPr="002E547D">
        <w:rPr>
          <w:rFonts w:asciiTheme="minorHAnsi" w:hAnsiTheme="minorHAnsi" w:cstheme="minorHAnsi"/>
        </w:rPr>
        <w:t>u</w:t>
      </w:r>
      <w:r w:rsidR="00DE31AF" w:rsidRPr="002E547D">
        <w:rPr>
          <w:rFonts w:asciiTheme="minorHAnsi" w:hAnsiTheme="minorHAnsi" w:cstheme="minorHAnsi"/>
        </w:rPr>
        <w:t xml:space="preserve"> </w:t>
      </w:r>
      <w:r w:rsidR="00DE31AF" w:rsidRPr="002E547D">
        <w:rPr>
          <w:rFonts w:asciiTheme="minorHAnsi" w:hAnsiTheme="minorHAnsi" w:cstheme="minorHAnsi"/>
          <w:color w:val="000000"/>
        </w:rPr>
        <w:t>Rozwoju Obszarów Wiejskich na lata 2014-2020</w:t>
      </w:r>
      <w:r w:rsidR="00D57951" w:rsidRPr="002E547D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65BA8B6C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wskazanych osób będą spełniać warunki postawione w tym zakresie w Specyfikacji Istotnych Warunków Zamówienia</w:t>
      </w:r>
    </w:p>
    <w:p w14:paraId="2D5A4B3A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2E547D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Kierownik budowy (robót) działać będzie w granicach umocowania określonego w ustawie Prawo budowlane.</w:t>
      </w:r>
    </w:p>
    <w:p w14:paraId="7ABB2F3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6CFC0DBE" w14:textId="77777777" w:rsidR="00945B02" w:rsidRPr="002E547D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2E547D">
        <w:rPr>
          <w:rFonts w:ascii="Calibri" w:hAnsi="Calibri"/>
          <w:b/>
        </w:rPr>
        <w:t>Wynagrodzenie i zapłata wynagrodzenia</w:t>
      </w:r>
    </w:p>
    <w:p w14:paraId="1CA81BD3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 xml:space="preserve">Za wykonanie przedmiotu umowy, określonego w § 1, strony </w:t>
      </w:r>
      <w:r w:rsidRPr="002E547D">
        <w:rPr>
          <w:rFonts w:ascii="Calibri" w:hAnsi="Calibri"/>
          <w:b/>
        </w:rPr>
        <w:t xml:space="preserve">ustalają wynagrodzenie ryczałtowe </w:t>
      </w:r>
      <w:r w:rsidRPr="002E547D">
        <w:rPr>
          <w:rFonts w:ascii="Calibri" w:hAnsi="Calibri"/>
        </w:rPr>
        <w:t>w wysokości:</w:t>
      </w:r>
    </w:p>
    <w:p w14:paraId="78403368" w14:textId="284A155D" w:rsidR="00945B02" w:rsidRPr="002E547D" w:rsidRDefault="00945B02" w:rsidP="00945B02">
      <w:pPr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  <w:b/>
        </w:rPr>
        <w:t xml:space="preserve">………….……… zł. netto </w:t>
      </w:r>
      <w:r w:rsidRPr="002E547D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2E547D" w:rsidRDefault="00945B02" w:rsidP="00945B02">
      <w:pPr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  <w:b/>
        </w:rPr>
        <w:t xml:space="preserve">…………….…… zł. brutto </w:t>
      </w:r>
      <w:r w:rsidRPr="002E547D">
        <w:rPr>
          <w:rFonts w:ascii="Calibri" w:hAnsi="Calibri"/>
        </w:rPr>
        <w:t>(słownie złotych: .........……….……….)</w:t>
      </w:r>
    </w:p>
    <w:p w14:paraId="105FDA42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2E547D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2E547D">
        <w:rPr>
          <w:rFonts w:ascii="Calibri" w:hAnsi="Calibri"/>
        </w:rPr>
        <w:t>Płatność realizowana będzie przelewem na konto Wykonawcy ......................</w:t>
      </w:r>
    </w:p>
    <w:p w14:paraId="5C80F928" w14:textId="77777777" w:rsidR="00945B02" w:rsidRPr="002E547D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2E547D">
        <w:rPr>
          <w:rFonts w:ascii="Calibri" w:hAnsi="Calibri"/>
        </w:rPr>
        <w:t xml:space="preserve">Wykonawca zobowiązany jest do wystawiania faktury na adres: Gmina Dobre Miasto </w:t>
      </w:r>
      <w:r w:rsidRPr="002E547D">
        <w:rPr>
          <w:rFonts w:ascii="Calibri" w:hAnsi="Calibri"/>
        </w:rPr>
        <w:br/>
        <w:t>ul. Warszawska 14</w:t>
      </w:r>
      <w:r w:rsidRPr="002E547D">
        <w:rPr>
          <w:rFonts w:ascii="Calibri" w:hAnsi="Calibri"/>
          <w:i/>
        </w:rPr>
        <w:t xml:space="preserve">, </w:t>
      </w:r>
      <w:r w:rsidRPr="002E547D">
        <w:rPr>
          <w:rFonts w:ascii="Calibri" w:hAnsi="Calibri"/>
        </w:rPr>
        <w:t>11-040 Dobre Miasto</w:t>
      </w:r>
      <w:r w:rsidRPr="002E547D">
        <w:rPr>
          <w:rFonts w:ascii="Calibri" w:hAnsi="Calibri"/>
          <w:i/>
        </w:rPr>
        <w:t xml:space="preserve">, </w:t>
      </w:r>
      <w:r w:rsidRPr="002E547D">
        <w:rPr>
          <w:rFonts w:ascii="Calibri" w:hAnsi="Calibri"/>
        </w:rPr>
        <w:t>NIP 7393845814.</w:t>
      </w:r>
    </w:p>
    <w:p w14:paraId="158A9C87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2E547D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2E547D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2E547D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2E547D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DA77CD">
        <w:rPr>
          <w:rFonts w:asciiTheme="minorHAnsi" w:eastAsia="Times New Roman" w:hAnsiTheme="minorHAnsi" w:cstheme="minorHAnsi"/>
          <w:szCs w:val="24"/>
          <w:lang w:eastAsia="pl-PL"/>
        </w:rPr>
        <w:t>w terminie co najmniej 14</w:t>
      </w:r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2E547D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2E547D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2E547D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2E547D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2E547D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2E547D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2E547D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2E547D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2E547D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2E547D">
        <w:rPr>
          <w:rFonts w:asciiTheme="minorHAnsi" w:eastAsia="Times New Roman" w:hAnsiTheme="minorHAnsi" w:cstheme="minorHAnsi"/>
          <w:szCs w:val="24"/>
        </w:rPr>
        <w:lastRenderedPageBreak/>
        <w:t xml:space="preserve">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oświadczenia wykonawcy lub podwykonawcy o zatrudnieniu pracownika na podstawie umowy o pracę,</w:t>
      </w:r>
    </w:p>
    <w:p w14:paraId="48661854" w14:textId="77777777" w:rsidR="00D57951" w:rsidRPr="002E547D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2E547D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2E547D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2E547D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2E547D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2E547D">
        <w:rPr>
          <w:rFonts w:asciiTheme="minorHAnsi" w:eastAsia="Times New Roman" w:hAnsiTheme="minorHAnsi" w:cstheme="minorHAnsi"/>
          <w:bCs/>
          <w:szCs w:val="24"/>
        </w:rPr>
        <w:t>ust. 1</w:t>
      </w:r>
      <w:r w:rsidRPr="002E547D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2E547D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2E547D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2E547D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2E547D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2E547D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2E547D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2E547D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2E547D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2E547D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2E547D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2E547D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3A5E22F9" w:rsidR="00D57951" w:rsidRPr="002E547D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</w:t>
      </w:r>
      <w:r w:rsidR="00A404B7"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>3</w:t>
      </w:r>
      <w:r w:rsidRPr="002E547D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0% wynagrodzenia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2E547D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może powierzyć realizację przedmiotu umowy podwykonawcy na podstawie zawartej umowy o podwykonawstwo w rozumieniu ustawy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oraz niniejszej umowy.</w:t>
      </w:r>
    </w:p>
    <w:p w14:paraId="1EE9D2E4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2E547D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3) zawiera ona postanowienia niezgodne z art. 463 </w:t>
      </w:r>
      <w:proofErr w:type="spellStart"/>
      <w:r w:rsidRPr="002E547D">
        <w:rPr>
          <w:rFonts w:asciiTheme="minorHAnsi" w:eastAsia="Times New Roman" w:hAnsiTheme="minorHAnsi" w:cstheme="minorHAnsi"/>
          <w:szCs w:val="24"/>
          <w:lang w:eastAsia="pl-PL"/>
        </w:rPr>
        <w:t>Pzp</w:t>
      </w:r>
      <w:proofErr w:type="spellEnd"/>
      <w:r w:rsidRPr="002E547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22E35D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można powoływać się na potrącenie roszczeń wykonawcy względem podwykonawcy niezwiązanych z realizacją umowy o podwykonawstwo.</w:t>
      </w:r>
    </w:p>
    <w:p w14:paraId="7D1B5C17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2E547D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2E547D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2E547D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2E547D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2E547D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2E547D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2E547D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2E547D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2E547D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2E547D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3E92D1EA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 w:rsidRPr="002E547D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2E547D">
        <w:rPr>
          <w:rFonts w:asciiTheme="minorHAnsi" w:eastAsia="Times New Roman" w:hAnsiTheme="minorHAnsi" w:cstheme="minorHAnsi"/>
          <w:bCs/>
          <w:szCs w:val="24"/>
        </w:rPr>
        <w:t>w terminie</w:t>
      </w:r>
      <w:r w:rsidR="00A36FF5" w:rsidRPr="002E547D">
        <w:rPr>
          <w:rFonts w:asciiTheme="minorHAnsi" w:eastAsia="Times New Roman" w:hAnsiTheme="minorHAnsi" w:cstheme="minorHAnsi"/>
          <w:bCs/>
          <w:szCs w:val="24"/>
        </w:rPr>
        <w:t xml:space="preserve"> 7</w:t>
      </w:r>
      <w:r w:rsidRPr="002E547D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2E547D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2E547D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2E547D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2E547D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2E547D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2E547D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06F47459" w14:textId="77777777" w:rsidR="00D57951" w:rsidRPr="002E547D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2E547D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2E547D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2E547D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2E547D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2E547D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2E547D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EFFFE9F" w14:textId="708E8999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FD39D9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</w:p>
    <w:p w14:paraId="3DD8285A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2E547D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2E547D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wiadomości o powyższych okolicznościach; w takim wypadku Wykonawca może żądać jedynie wynagrodzenia należnego mu z tytułu wykonanej części umowy.</w:t>
      </w:r>
    </w:p>
    <w:p w14:paraId="01B26815" w14:textId="1257F27C" w:rsidR="00D57951" w:rsidRPr="002E547D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2E547D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2E547D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2E547D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2E547D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2E547D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2E547D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2E547D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2E547D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1F4C3125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E547D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FD39D9" w:rsidRPr="002E547D">
        <w:rPr>
          <w:rFonts w:asciiTheme="minorHAnsi" w:hAnsiTheme="minorHAnsi" w:cstheme="minorHAnsi"/>
          <w:b/>
          <w:bCs/>
          <w:color w:val="000000"/>
          <w:szCs w:val="24"/>
        </w:rPr>
        <w:t>4</w:t>
      </w:r>
    </w:p>
    <w:p w14:paraId="49AA6F81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E547D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2E547D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</w:t>
      </w:r>
      <w:r w:rsidRPr="002E547D">
        <w:rPr>
          <w:rFonts w:asciiTheme="minorHAnsi" w:hAnsiTheme="minorHAnsi" w:cstheme="minorHAnsi"/>
          <w:color w:val="000000"/>
        </w:rPr>
        <w:lastRenderedPageBreak/>
        <w:t xml:space="preserve">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2E547D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2E547D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2E547D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09B61485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FD39D9" w:rsidRPr="002E547D">
        <w:rPr>
          <w:rFonts w:asciiTheme="minorHAnsi" w:eastAsia="Times New Roman" w:hAnsiTheme="minorHAnsi" w:cstheme="minorHAnsi"/>
          <w:b/>
          <w:bCs/>
          <w:szCs w:val="24"/>
        </w:rPr>
        <w:t>5</w:t>
      </w:r>
    </w:p>
    <w:p w14:paraId="52A170DE" w14:textId="77777777" w:rsidR="00D57951" w:rsidRPr="002E547D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2E547D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14:paraId="7FACF0F4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Zmiany umowy wymagają formy pisemnej pod rygorem nieważności.</w:t>
      </w:r>
    </w:p>
    <w:p w14:paraId="28A4BC0D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2E547D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E547D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691FD555" w14:textId="77777777" w:rsidR="00945B02" w:rsidRPr="002E547D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2E547D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2E547D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2E547D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532867E9" w14:textId="50272E22" w:rsidR="00945B02" w:rsidRPr="002E547D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2E547D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2E547D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2E547D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2E547D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2E547D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2E547D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2E547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062D0B" w14:textId="77777777" w:rsidR="00D54971" w:rsidRDefault="00D54971"/>
    <w:sectPr w:rsidR="00D54971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CC01" w14:textId="77777777" w:rsidR="004144BE" w:rsidRDefault="004144BE" w:rsidP="007E63DD">
      <w:pPr>
        <w:spacing w:line="240" w:lineRule="auto"/>
      </w:pPr>
      <w:r>
        <w:separator/>
      </w:r>
    </w:p>
  </w:endnote>
  <w:endnote w:type="continuationSeparator" w:id="0">
    <w:p w14:paraId="3F66841C" w14:textId="77777777" w:rsidR="004144BE" w:rsidRDefault="004144BE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39B7" w14:textId="77777777" w:rsidR="004144BE" w:rsidRDefault="004144BE" w:rsidP="007E63DD">
      <w:pPr>
        <w:spacing w:line="240" w:lineRule="auto"/>
      </w:pPr>
      <w:r>
        <w:separator/>
      </w:r>
    </w:p>
  </w:footnote>
  <w:footnote w:type="continuationSeparator" w:id="0">
    <w:p w14:paraId="7B8553F0" w14:textId="77777777" w:rsidR="004144BE" w:rsidRDefault="004144BE" w:rsidP="007E63DD">
      <w:pPr>
        <w:spacing w:line="240" w:lineRule="auto"/>
      </w:pPr>
      <w:r>
        <w:continuationSeparator/>
      </w:r>
    </w:p>
  </w:footnote>
  <w:footnote w:id="1">
    <w:p w14:paraId="5775EC67" w14:textId="3570EA55" w:rsidR="00C422F0" w:rsidRDefault="00C422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547D">
        <w:rPr>
          <w:rFonts w:asciiTheme="minorHAnsi" w:hAnsiTheme="minorHAnsi" w:cstheme="minorHAnsi"/>
        </w:rPr>
        <w:t>Obowiązki Wykonawcy określa odpowiednio pozwolenie</w:t>
      </w:r>
      <w:r w:rsidR="00DA77CD">
        <w:rPr>
          <w:rFonts w:asciiTheme="minorHAnsi" w:hAnsiTheme="minorHAnsi" w:cstheme="minorHAnsi"/>
        </w:rPr>
        <w:t xml:space="preserve"> </w:t>
      </w:r>
      <w:r w:rsidR="00DA77CD" w:rsidRPr="00361C1D">
        <w:rPr>
          <w:rFonts w:asciiTheme="minorHAnsi" w:hAnsiTheme="minorHAnsi" w:cstheme="minorHAnsi"/>
          <w:spacing w:val="-2"/>
        </w:rPr>
        <w:t>Warmińsko-Mazurskiego Wojewódzkiego Konserwatora Zabytków</w:t>
      </w:r>
      <w:r w:rsidR="00DA77CD">
        <w:rPr>
          <w:rFonts w:asciiTheme="minorHAnsi" w:hAnsiTheme="minorHAnsi" w:cstheme="minorHAnsi"/>
          <w:spacing w:val="-2"/>
        </w:rPr>
        <w:t xml:space="preserve"> z dnia </w:t>
      </w:r>
      <w:r w:rsidR="00DA77CD">
        <w:rPr>
          <w:rFonts w:asciiTheme="minorHAnsi" w:hAnsiTheme="minorHAnsi" w:cstheme="minorHAnsi"/>
        </w:rPr>
        <w:t>27.04.2021 r. lub z dnia 04.10.2023 r.</w:t>
      </w:r>
      <w:r w:rsidRPr="002E547D">
        <w:rPr>
          <w:rFonts w:asciiTheme="minorHAnsi" w:hAnsiTheme="minorHAnsi" w:cstheme="minorHAnsi"/>
        </w:rPr>
        <w:t>, w zależności od rodzaju zaoferowanej technologii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29"/>
  </w:num>
  <w:num w:numId="7" w16cid:durableId="1595092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19"/>
  </w:num>
  <w:num w:numId="17" w16cid:durableId="278949050">
    <w:abstractNumId w:val="2"/>
  </w:num>
  <w:num w:numId="18" w16cid:durableId="544105570">
    <w:abstractNumId w:val="14"/>
    <w:lvlOverride w:ilvl="0">
      <w:startOverride w:val="1"/>
    </w:lvlOverride>
  </w:num>
  <w:num w:numId="19" w16cid:durableId="6691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8"/>
    <w:lvlOverride w:ilvl="0">
      <w:startOverride w:val="2"/>
    </w:lvlOverride>
  </w:num>
  <w:num w:numId="21" w16cid:durableId="1982493754">
    <w:abstractNumId w:val="21"/>
    <w:lvlOverride w:ilvl="0">
      <w:startOverride w:val="1"/>
    </w:lvlOverride>
  </w:num>
  <w:num w:numId="22" w16cid:durableId="162089757">
    <w:abstractNumId w:val="17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2"/>
  </w:num>
  <w:num w:numId="26" w16cid:durableId="1098939839">
    <w:abstractNumId w:val="20"/>
  </w:num>
  <w:num w:numId="27" w16cid:durableId="782118322">
    <w:abstractNumId w:val="18"/>
  </w:num>
  <w:num w:numId="28" w16cid:durableId="1789809341">
    <w:abstractNumId w:val="5"/>
  </w:num>
  <w:num w:numId="29" w16cid:durableId="303236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6"/>
  </w:num>
  <w:num w:numId="31" w16cid:durableId="12037138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40EA7"/>
    <w:rsid w:val="00075992"/>
    <w:rsid w:val="000B450B"/>
    <w:rsid w:val="000B5FA9"/>
    <w:rsid w:val="0027470D"/>
    <w:rsid w:val="002C45F2"/>
    <w:rsid w:val="002D74D5"/>
    <w:rsid w:val="002E547D"/>
    <w:rsid w:val="00302534"/>
    <w:rsid w:val="00334B57"/>
    <w:rsid w:val="00393F84"/>
    <w:rsid w:val="003D04A9"/>
    <w:rsid w:val="00400E2E"/>
    <w:rsid w:val="004144BE"/>
    <w:rsid w:val="00415A30"/>
    <w:rsid w:val="0043110E"/>
    <w:rsid w:val="00452256"/>
    <w:rsid w:val="00481BBD"/>
    <w:rsid w:val="00493305"/>
    <w:rsid w:val="00526F7E"/>
    <w:rsid w:val="005901CC"/>
    <w:rsid w:val="005B30C2"/>
    <w:rsid w:val="005D5E34"/>
    <w:rsid w:val="00642591"/>
    <w:rsid w:val="007C62E1"/>
    <w:rsid w:val="007D45A5"/>
    <w:rsid w:val="007E63DD"/>
    <w:rsid w:val="007F2E66"/>
    <w:rsid w:val="008A3A36"/>
    <w:rsid w:val="008B1BFE"/>
    <w:rsid w:val="009353CD"/>
    <w:rsid w:val="00945B02"/>
    <w:rsid w:val="0097790D"/>
    <w:rsid w:val="00984504"/>
    <w:rsid w:val="009F0D90"/>
    <w:rsid w:val="00A07384"/>
    <w:rsid w:val="00A3103F"/>
    <w:rsid w:val="00A334CA"/>
    <w:rsid w:val="00A36FF5"/>
    <w:rsid w:val="00A404B7"/>
    <w:rsid w:val="00A542A6"/>
    <w:rsid w:val="00AA5B53"/>
    <w:rsid w:val="00B26874"/>
    <w:rsid w:val="00BF60FC"/>
    <w:rsid w:val="00C422F0"/>
    <w:rsid w:val="00C90041"/>
    <w:rsid w:val="00CA031B"/>
    <w:rsid w:val="00CA35D3"/>
    <w:rsid w:val="00CE0D6F"/>
    <w:rsid w:val="00D37FEB"/>
    <w:rsid w:val="00D54971"/>
    <w:rsid w:val="00D57951"/>
    <w:rsid w:val="00DA77CD"/>
    <w:rsid w:val="00DE1BE9"/>
    <w:rsid w:val="00DE31AF"/>
    <w:rsid w:val="00DF6553"/>
    <w:rsid w:val="00E20E56"/>
    <w:rsid w:val="00ED21CD"/>
    <w:rsid w:val="00F66633"/>
    <w:rsid w:val="00F7317D"/>
    <w:rsid w:val="00FC758E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  <w:style w:type="paragraph" w:customStyle="1" w:styleId="pkt">
    <w:name w:val="pkt"/>
    <w:basedOn w:val="Normalny"/>
    <w:link w:val="pktZnak"/>
    <w:rsid w:val="00C422F0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C422F0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5317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38</cp:revision>
  <cp:lastPrinted>2023-10-20T09:33:00Z</cp:lastPrinted>
  <dcterms:created xsi:type="dcterms:W3CDTF">2023-03-09T13:48:00Z</dcterms:created>
  <dcterms:modified xsi:type="dcterms:W3CDTF">2023-10-20T09:38:00Z</dcterms:modified>
</cp:coreProperties>
</file>